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30" w:rsidRDefault="00F33E30">
      <w:pPr>
        <w:spacing w:line="584" w:lineRule="exact"/>
        <w:ind w:firstLineChars="200" w:firstLine="880"/>
        <w:jc w:val="center"/>
        <w:rPr>
          <w:rFonts w:ascii="Times New Roman" w:eastAsia="仿宋_GB2312" w:hAnsi="Times New Roman" w:cs="Times New Roman"/>
          <w:sz w:val="44"/>
          <w:szCs w:val="44"/>
        </w:rPr>
      </w:pPr>
    </w:p>
    <w:p w:rsidR="00F33E30" w:rsidRDefault="00791201">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香河县支油支铁服务中心</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23</w:t>
      </w:r>
      <w:r>
        <w:rPr>
          <w:rFonts w:ascii="Times New Roman" w:eastAsia="方正小标宋简体" w:hAnsi="Times New Roman" w:cs="Times New Roman"/>
          <w:sz w:val="44"/>
          <w:szCs w:val="44"/>
        </w:rPr>
        <w:t>年</w:t>
      </w:r>
      <w:bookmarkStart w:id="0" w:name="_GoBack"/>
      <w:bookmarkEnd w:id="0"/>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F33E30" w:rsidRDefault="00F33E30">
      <w:pPr>
        <w:spacing w:line="584" w:lineRule="exact"/>
        <w:ind w:firstLineChars="200" w:firstLine="880"/>
        <w:jc w:val="center"/>
        <w:rPr>
          <w:rFonts w:ascii="Times New Roman" w:eastAsia="仿宋_GB2312" w:hAnsi="Times New Roman" w:cs="Times New Roman"/>
          <w:sz w:val="44"/>
          <w:szCs w:val="44"/>
        </w:rPr>
      </w:pPr>
    </w:p>
    <w:p w:rsidR="00F33E30" w:rsidRDefault="0079120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按照《中华人民共和国预算法》、《中华人民共和国预算法实施条例》、《地方预决算公开操作规程》和《河北省省级预算公开办法》规定，现将香河县</w:t>
      </w:r>
      <w:r>
        <w:rPr>
          <w:rFonts w:ascii="Times New Roman" w:eastAsia="仿宋_GB2312" w:hAnsi="Times New Roman" w:cs="Times New Roman" w:hint="eastAsia"/>
          <w:sz w:val="32"/>
          <w:szCs w:val="32"/>
        </w:rPr>
        <w:t>支油支铁服务中心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w:t>
      </w:r>
      <w:r w:rsidR="006027B3">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预算公开如下：</w:t>
      </w:r>
    </w:p>
    <w:p w:rsidR="00F33E30" w:rsidRDefault="00791201">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w:t>
      </w:r>
      <w:r w:rsidR="006027B3">
        <w:rPr>
          <w:rFonts w:ascii="Times New Roman" w:eastAsia="黑体" w:hAnsi="黑体" w:cs="Times New Roman"/>
          <w:sz w:val="32"/>
          <w:szCs w:val="32"/>
        </w:rPr>
        <w:t>单位</w:t>
      </w:r>
      <w:r>
        <w:rPr>
          <w:rFonts w:ascii="Times New Roman" w:eastAsia="黑体" w:hAnsi="黑体" w:cs="Times New Roman"/>
          <w:sz w:val="32"/>
          <w:szCs w:val="32"/>
        </w:rPr>
        <w:t>职责及机构设置情况</w:t>
      </w:r>
    </w:p>
    <w:p w:rsidR="00F33E30" w:rsidRDefault="006027B3">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791201">
        <w:rPr>
          <w:rFonts w:ascii="Times New Roman" w:eastAsia="楷体_GB2312" w:hAnsi="Times New Roman" w:cs="Times New Roman"/>
          <w:b/>
          <w:sz w:val="32"/>
          <w:szCs w:val="32"/>
        </w:rPr>
        <w:t>职责：</w:t>
      </w:r>
    </w:p>
    <w:p w:rsidR="00F33E30" w:rsidRDefault="00791201">
      <w:pPr>
        <w:spacing w:line="584" w:lineRule="exact"/>
        <w:ind w:firstLineChars="200" w:firstLine="640"/>
        <w:rPr>
          <w:rFonts w:ascii="Times New Roman" w:eastAsia="楷体_GB2312" w:hAnsi="Times New Roman" w:cs="Times New Roman"/>
          <w:b/>
          <w:sz w:val="32"/>
          <w:szCs w:val="32"/>
        </w:rPr>
      </w:pPr>
      <w:r>
        <w:rPr>
          <w:rFonts w:ascii="Times New Roman" w:eastAsia="仿宋_GB2312" w:hAnsi="Times New Roman" w:cs="Times New Roman" w:hint="eastAsia"/>
          <w:sz w:val="32"/>
          <w:szCs w:val="32"/>
        </w:rPr>
        <w:t>（一）负责为油田、铁路建设提供支援帮助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参与协调油田、铁路建设征用土地附着物的拆迁补偿工作。</w:t>
      </w:r>
    </w:p>
    <w:p w:rsidR="00F33E30" w:rsidRDefault="00791201">
      <w:pPr>
        <w:spacing w:line="584" w:lineRule="exact"/>
        <w:ind w:firstLineChars="200" w:firstLine="640"/>
        <w:rPr>
          <w:rFonts w:ascii="仿宋" w:eastAsia="仿宋" w:hAnsi="仿宋"/>
          <w:sz w:val="28"/>
          <w:szCs w:val="28"/>
        </w:rPr>
      </w:pPr>
      <w:r>
        <w:rPr>
          <w:rFonts w:ascii="Times New Roman" w:eastAsia="仿宋_GB2312" w:hAnsi="Times New Roman" w:cs="Times New Roman" w:hint="eastAsia"/>
          <w:sz w:val="32"/>
          <w:szCs w:val="32"/>
        </w:rPr>
        <w:t>（二）完成县委、县政府交办的其他任务。</w:t>
      </w:r>
    </w:p>
    <w:p w:rsidR="00F33E30" w:rsidRDefault="00791201">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F33E30" w:rsidRDefault="006027B3">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791201">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F33E30">
        <w:trPr>
          <w:trHeight w:val="584"/>
          <w:tblHeader/>
          <w:jc w:val="center"/>
        </w:trPr>
        <w:tc>
          <w:tcPr>
            <w:tcW w:w="4443" w:type="dxa"/>
            <w:vMerge w:val="restart"/>
            <w:shd w:val="clear" w:color="auto" w:fill="auto"/>
            <w:vAlign w:val="center"/>
          </w:tcPr>
          <w:p w:rsidR="00F33E30" w:rsidRDefault="0079120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F33E30" w:rsidRDefault="0079120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F33E30" w:rsidRDefault="0079120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F33E30" w:rsidRDefault="0079120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F33E30">
        <w:trPr>
          <w:trHeight w:val="584"/>
          <w:tblHeader/>
          <w:jc w:val="center"/>
        </w:trPr>
        <w:tc>
          <w:tcPr>
            <w:tcW w:w="4443" w:type="dxa"/>
            <w:vMerge/>
            <w:shd w:val="clear" w:color="auto" w:fill="auto"/>
            <w:vAlign w:val="center"/>
          </w:tcPr>
          <w:p w:rsidR="00F33E30" w:rsidRDefault="00F33E30">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33E30" w:rsidRDefault="00F33E30">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33E30" w:rsidRDefault="00F33E30">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33E30" w:rsidRDefault="00F33E30">
            <w:pPr>
              <w:spacing w:line="584" w:lineRule="exact"/>
              <w:jc w:val="left"/>
              <w:outlineLvl w:val="0"/>
              <w:rPr>
                <w:rFonts w:ascii="Times New Roman" w:eastAsia="仿宋_GB2312" w:hAnsi="Times New Roman" w:cs="Times New Roman"/>
                <w:szCs w:val="24"/>
              </w:rPr>
            </w:pPr>
          </w:p>
        </w:tc>
      </w:tr>
      <w:tr w:rsidR="00F33E30">
        <w:trPr>
          <w:trHeight w:val="227"/>
          <w:jc w:val="center"/>
        </w:trPr>
        <w:tc>
          <w:tcPr>
            <w:tcW w:w="4443" w:type="dxa"/>
            <w:shd w:val="clear" w:color="auto" w:fill="auto"/>
            <w:vAlign w:val="center"/>
          </w:tcPr>
          <w:p w:rsidR="00F33E30" w:rsidRDefault="00791201">
            <w:pPr>
              <w:spacing w:line="584" w:lineRule="exact"/>
              <w:jc w:val="left"/>
              <w:rPr>
                <w:rFonts w:ascii="Times New Roman" w:eastAsia="仿宋_GB2312" w:hAnsi="Times New Roman" w:cs="Times New Roman"/>
              </w:rPr>
            </w:pPr>
            <w:r>
              <w:rPr>
                <w:rFonts w:ascii="Times New Roman" w:eastAsia="仿宋_GB2312" w:hAnsi="Times New Roman" w:hint="eastAsia"/>
                <w:b/>
                <w:sz w:val="18"/>
                <w:szCs w:val="18"/>
              </w:rPr>
              <w:t>香河县支油支铁服务中心</w:t>
            </w:r>
          </w:p>
        </w:tc>
        <w:tc>
          <w:tcPr>
            <w:tcW w:w="1134" w:type="dxa"/>
            <w:shd w:val="clear" w:color="auto" w:fill="auto"/>
            <w:vAlign w:val="center"/>
          </w:tcPr>
          <w:p w:rsidR="00F33E30" w:rsidRDefault="00791201">
            <w:pPr>
              <w:spacing w:line="584" w:lineRule="exact"/>
              <w:jc w:val="center"/>
              <w:rPr>
                <w:rFonts w:ascii="Times New Roman" w:eastAsia="仿宋_GB2312" w:hAnsi="Times New Roman" w:cs="Times New Roman"/>
              </w:rPr>
            </w:pPr>
            <w:r>
              <w:rPr>
                <w:rFonts w:ascii="Times New Roman" w:eastAsia="仿宋_GB2312" w:hAnsi="Times New Roman" w:hint="eastAsia"/>
                <w:b/>
                <w:sz w:val="18"/>
                <w:szCs w:val="18"/>
              </w:rPr>
              <w:t>事业</w:t>
            </w:r>
          </w:p>
        </w:tc>
        <w:tc>
          <w:tcPr>
            <w:tcW w:w="1276" w:type="dxa"/>
            <w:shd w:val="clear" w:color="auto" w:fill="auto"/>
            <w:vAlign w:val="center"/>
          </w:tcPr>
          <w:p w:rsidR="00F33E30" w:rsidRDefault="00791201">
            <w:pPr>
              <w:spacing w:line="584" w:lineRule="exact"/>
              <w:jc w:val="center"/>
              <w:rPr>
                <w:rFonts w:ascii="Times New Roman" w:eastAsia="仿宋_GB2312" w:hAnsi="Times New Roman" w:cs="Times New Roman"/>
              </w:rPr>
            </w:pPr>
            <w:r>
              <w:rPr>
                <w:rFonts w:ascii="Times New Roman" w:eastAsia="仿宋_GB2312" w:hAnsi="Times New Roman" w:hint="eastAsia"/>
                <w:b/>
                <w:sz w:val="18"/>
                <w:szCs w:val="18"/>
              </w:rPr>
              <w:t>正股级</w:t>
            </w:r>
          </w:p>
        </w:tc>
        <w:tc>
          <w:tcPr>
            <w:tcW w:w="2902" w:type="dxa"/>
            <w:shd w:val="clear" w:color="auto" w:fill="auto"/>
            <w:vAlign w:val="center"/>
          </w:tcPr>
          <w:p w:rsidR="00F33E30" w:rsidRDefault="00791201">
            <w:pPr>
              <w:spacing w:line="584" w:lineRule="exact"/>
              <w:jc w:val="center"/>
              <w:rPr>
                <w:rFonts w:ascii="Times New Roman" w:eastAsia="仿宋_GB2312" w:hAnsi="Times New Roman" w:cs="Times New Roman"/>
              </w:rPr>
            </w:pPr>
            <w:r>
              <w:rPr>
                <w:rFonts w:ascii="Times New Roman" w:eastAsia="仿宋_GB2312" w:hAnsi="Times New Roman" w:hint="eastAsia"/>
                <w:b/>
                <w:sz w:val="18"/>
                <w:szCs w:val="18"/>
              </w:rPr>
              <w:t>财政性资金基本保证</w:t>
            </w:r>
          </w:p>
        </w:tc>
      </w:tr>
    </w:tbl>
    <w:p w:rsidR="00F33E30" w:rsidRDefault="00791201">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w:t>
      </w:r>
      <w:r w:rsidR="006027B3">
        <w:rPr>
          <w:rFonts w:ascii="Times New Roman" w:eastAsia="黑体" w:hAnsi="黑体" w:cs="Times New Roman"/>
          <w:sz w:val="32"/>
          <w:szCs w:val="32"/>
        </w:rPr>
        <w:t>单位</w:t>
      </w:r>
      <w:r>
        <w:rPr>
          <w:rFonts w:ascii="Times New Roman" w:eastAsia="黑体" w:hAnsi="黑体" w:cs="Times New Roman"/>
          <w:sz w:val="32"/>
          <w:szCs w:val="32"/>
        </w:rPr>
        <w:t>预算安排的总体情况</w:t>
      </w:r>
    </w:p>
    <w:p w:rsidR="00F33E30" w:rsidRDefault="00791201">
      <w:pPr>
        <w:spacing w:line="584"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按照预算管理有关规定，目前我县</w:t>
      </w:r>
      <w:r w:rsidR="00D43862">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预算的编制实行综合预算制度，即全部收入和支出都反映在预算中。香河县</w:t>
      </w:r>
      <w:r>
        <w:rPr>
          <w:rFonts w:ascii="Times New Roman" w:eastAsia="仿宋_GB2312" w:hAnsi="Times New Roman" w:cs="Times New Roman" w:hint="eastAsia"/>
          <w:sz w:val="32"/>
          <w:szCs w:val="32"/>
        </w:rPr>
        <w:t>支油支铁服务中心</w:t>
      </w:r>
      <w:r>
        <w:rPr>
          <w:rFonts w:ascii="Times New Roman" w:eastAsia="仿宋_GB2312" w:hAnsi="Times New Roman" w:cs="Times New Roman"/>
          <w:sz w:val="32"/>
          <w:szCs w:val="32"/>
        </w:rPr>
        <w:t>的收支包含在</w:t>
      </w:r>
      <w:r w:rsidR="00D43862">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w:t>
      </w:r>
    </w:p>
    <w:p w:rsidR="00F33E30" w:rsidRDefault="0079120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F33E30" w:rsidRDefault="0079120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反映本</w:t>
      </w:r>
      <w:r w:rsidR="008A64A7">
        <w:rPr>
          <w:rFonts w:ascii="Times New Roman" w:eastAsia="仿宋_GB2312" w:hAnsi="Times New Roman" w:cs="Times New Roman"/>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26.6</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26.6</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F33E30" w:rsidRDefault="0079120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F33E30" w:rsidRDefault="0079120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收支预算总表支出栏、基本支出表、项目支出表按经济分类和支出功能分类科目编制，反映香河县</w:t>
      </w:r>
      <w:r>
        <w:rPr>
          <w:rFonts w:ascii="Times New Roman" w:eastAsia="仿宋_GB2312" w:hAnsi="Times New Roman" w:cs="Times New Roman" w:hint="eastAsia"/>
          <w:sz w:val="32"/>
          <w:szCs w:val="32"/>
        </w:rPr>
        <w:t>支油支铁服务中心</w:t>
      </w:r>
      <w:r>
        <w:rPr>
          <w:rFonts w:ascii="Times New Roman" w:eastAsia="仿宋_GB2312" w:hAnsi="Times New Roman" w:cs="Times New Roman"/>
          <w:sz w:val="32"/>
          <w:szCs w:val="32"/>
        </w:rPr>
        <w:t>年度</w:t>
      </w:r>
      <w:r w:rsidR="008A64A7">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26.6</w:t>
      </w:r>
      <w:r>
        <w:rPr>
          <w:rFonts w:ascii="Times New Roman" w:eastAsia="仿宋_GB2312" w:hAnsi="Times New Roman" w:cs="Times New Roman"/>
          <w:sz w:val="32"/>
          <w:szCs w:val="32"/>
        </w:rPr>
        <w:t>万元，其中运转类其他及特定目标类项目支出</w:t>
      </w:r>
      <w:r>
        <w:rPr>
          <w:rFonts w:ascii="Times New Roman" w:eastAsia="仿宋_GB2312" w:hAnsi="Times New Roman" w:cs="Times New Roman" w:hint="eastAsia"/>
          <w:sz w:val="32"/>
          <w:szCs w:val="32"/>
        </w:rPr>
        <w:t>26.6</w:t>
      </w:r>
      <w:r>
        <w:rPr>
          <w:rFonts w:ascii="Times New Roman" w:eastAsia="仿宋_GB2312" w:hAnsi="Times New Roman" w:cs="Times New Roman"/>
          <w:sz w:val="32"/>
          <w:szCs w:val="32"/>
        </w:rPr>
        <w:t>万元。</w:t>
      </w:r>
    </w:p>
    <w:p w:rsidR="00F33E30" w:rsidRDefault="0079120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F33E30" w:rsidRDefault="0079120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26.6</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年预算减少</w:t>
      </w:r>
      <w:r>
        <w:rPr>
          <w:rFonts w:ascii="Times New Roman" w:eastAsia="仿宋_GB2312" w:hAnsi="Times New Roman" w:cs="Times New Roman" w:hint="eastAsia"/>
          <w:sz w:val="32"/>
          <w:szCs w:val="32"/>
        </w:rPr>
        <w:t>1138.36</w:t>
      </w:r>
      <w:r>
        <w:rPr>
          <w:rFonts w:ascii="Times New Roman" w:eastAsia="仿宋_GB2312" w:hAnsi="Times New Roman" w:cs="Times New Roman"/>
          <w:sz w:val="32"/>
          <w:szCs w:val="32"/>
        </w:rPr>
        <w:t>万元，其中：基本支出减少</w:t>
      </w:r>
      <w:r>
        <w:rPr>
          <w:rFonts w:ascii="Times New Roman" w:eastAsia="仿宋_GB2312" w:hAnsi="Times New Roman" w:cs="Times New Roman" w:hint="eastAsia"/>
          <w:sz w:val="32"/>
          <w:szCs w:val="32"/>
        </w:rPr>
        <w:t>117.96</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人员、日常公用等经费</w:t>
      </w:r>
      <w:r>
        <w:rPr>
          <w:rFonts w:ascii="Times New Roman" w:eastAsia="仿宋_GB2312" w:hAnsi="Times New Roman" w:cs="Times New Roman"/>
          <w:sz w:val="32"/>
          <w:szCs w:val="32"/>
        </w:rPr>
        <w:t>支出；项目支出减少</w:t>
      </w:r>
      <w:r>
        <w:rPr>
          <w:rFonts w:ascii="Times New Roman" w:eastAsia="仿宋_GB2312" w:hAnsi="Times New Roman" w:cs="Times New Roman" w:hint="eastAsia"/>
          <w:sz w:val="32"/>
          <w:szCs w:val="32"/>
        </w:rPr>
        <w:t>1020.4</w:t>
      </w:r>
      <w:r>
        <w:rPr>
          <w:rFonts w:ascii="Times New Roman" w:eastAsia="仿宋_GB2312" w:hAnsi="Times New Roman" w:cs="Times New Roman"/>
          <w:sz w:val="32"/>
          <w:szCs w:val="32"/>
        </w:rPr>
        <w:t>万元，主要为京</w:t>
      </w:r>
      <w:proofErr w:type="gramStart"/>
      <w:r>
        <w:rPr>
          <w:rFonts w:ascii="Times New Roman" w:eastAsia="仿宋_GB2312" w:hAnsi="Times New Roman" w:cs="Times New Roman"/>
          <w:sz w:val="32"/>
          <w:szCs w:val="32"/>
        </w:rPr>
        <w:t>唐铁路</w:t>
      </w:r>
      <w:proofErr w:type="gramEnd"/>
      <w:r>
        <w:rPr>
          <w:rFonts w:ascii="Times New Roman" w:eastAsia="仿宋_GB2312" w:hAnsi="Times New Roman" w:cs="Times New Roman"/>
          <w:sz w:val="32"/>
          <w:szCs w:val="32"/>
        </w:rPr>
        <w:t>香河站站</w:t>
      </w:r>
      <w:proofErr w:type="gramStart"/>
      <w:r>
        <w:rPr>
          <w:rFonts w:ascii="Times New Roman" w:eastAsia="仿宋_GB2312" w:hAnsi="Times New Roman" w:cs="Times New Roman"/>
          <w:sz w:val="32"/>
          <w:szCs w:val="32"/>
        </w:rPr>
        <w:t>房规模</w:t>
      </w:r>
      <w:proofErr w:type="gramEnd"/>
      <w:r>
        <w:rPr>
          <w:rFonts w:ascii="Times New Roman" w:eastAsia="仿宋_GB2312" w:hAnsi="Times New Roman" w:cs="Times New Roman"/>
          <w:sz w:val="32"/>
          <w:szCs w:val="32"/>
        </w:rPr>
        <w:t>扩大项目资金项目支出。</w:t>
      </w:r>
    </w:p>
    <w:p w:rsidR="00F33E30" w:rsidRDefault="00791201">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F33E30" w:rsidRDefault="00791201">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w:t>
      </w:r>
      <w:r w:rsidR="00224212">
        <w:rPr>
          <w:rFonts w:ascii="Times New Roman" w:eastAsia="仿宋_GB2312" w:hAnsi="Times New Roman" w:cs="Times New Roman"/>
          <w:sz w:val="32"/>
          <w:szCs w:val="32"/>
        </w:rPr>
        <w:t>我单位</w:t>
      </w:r>
      <w:r>
        <w:rPr>
          <w:rFonts w:ascii="Times New Roman" w:eastAsia="仿宋_GB2312" w:hAnsi="Times New Roman" w:cs="Times New Roman"/>
          <w:sz w:val="32"/>
          <w:szCs w:val="32"/>
        </w:rPr>
        <w:t>我局机关运行经费共计安排</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sidR="00340059">
        <w:rPr>
          <w:rFonts w:ascii="Times New Roman" w:eastAsia="仿宋_GB2312" w:hAnsi="Times New Roman" w:cs="Times New Roman"/>
          <w:sz w:val="32"/>
          <w:szCs w:val="32"/>
        </w:rPr>
        <w:t>，主要原因是我单位机关运行经费</w:t>
      </w:r>
      <w:r w:rsidR="00340059">
        <w:rPr>
          <w:rFonts w:ascii="Times New Roman" w:eastAsia="仿宋_GB2312" w:hAnsi="Times New Roman" w:cs="Times New Roman" w:hint="eastAsia"/>
          <w:sz w:val="32"/>
          <w:szCs w:val="32"/>
        </w:rPr>
        <w:t>并入住建局中核算。</w:t>
      </w:r>
    </w:p>
    <w:p w:rsidR="00F33E30" w:rsidRDefault="00791201">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F33E30" w:rsidRDefault="00791201">
      <w:pPr>
        <w:autoSpaceDE w:val="0"/>
        <w:autoSpaceDN w:val="0"/>
        <w:adjustRightInd w:val="0"/>
        <w:spacing w:line="584" w:lineRule="exact"/>
        <w:ind w:leftChars="94" w:left="197"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万元（其中：公务用车购置</w:t>
      </w:r>
      <w:r>
        <w:rPr>
          <w:rFonts w:ascii="Times New Roman" w:eastAsia="仿宋_GB2312" w:hAnsi="Times New Roman" w:cs="Times New Roman"/>
          <w:sz w:val="32"/>
          <w:szCs w:val="32"/>
        </w:rPr>
        <w:lastRenderedPageBreak/>
        <w:t>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经费并入住建局。</w:t>
      </w:r>
    </w:p>
    <w:p w:rsidR="00F33E30" w:rsidRDefault="00791201">
      <w:pPr>
        <w:numPr>
          <w:ilvl w:val="0"/>
          <w:numId w:val="1"/>
        </w:num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t>预算绩效信息</w:t>
      </w:r>
    </w:p>
    <w:p w:rsidR="00F33E30" w:rsidRDefault="00791201">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sidR="008A64A7">
        <w:rPr>
          <w:rFonts w:ascii="Times New Roman" w:eastAsia="黑体" w:hAnsi="黑体" w:cs="Times New Roman" w:hint="eastAsia"/>
          <w:sz w:val="32"/>
          <w:szCs w:val="32"/>
        </w:rPr>
        <w:t>单位</w:t>
      </w:r>
      <w:r>
        <w:rPr>
          <w:rFonts w:ascii="Times New Roman" w:eastAsia="黑体" w:hAnsi="黑体" w:cs="Times New Roman" w:hint="eastAsia"/>
          <w:sz w:val="32"/>
          <w:szCs w:val="32"/>
        </w:rPr>
        <w:t>整体绩效目标</w:t>
      </w:r>
    </w:p>
    <w:p w:rsidR="00F33E30" w:rsidRDefault="0079120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F33E30" w:rsidRDefault="00791201">
      <w:pPr>
        <w:pStyle w:val="-"/>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贯彻执行国家、省住房城乡建设的方针、政策和法律、法规，拟定</w:t>
      </w:r>
      <w:proofErr w:type="gramStart"/>
      <w:r>
        <w:rPr>
          <w:rFonts w:ascii="Times New Roman" w:eastAsia="仿宋_GB2312" w:hAnsi="Times New Roman" w:cs="Times New Roman" w:hint="eastAsia"/>
          <w:sz w:val="32"/>
          <w:szCs w:val="32"/>
        </w:rPr>
        <w:t>全市住建方面</w:t>
      </w:r>
      <w:proofErr w:type="gramEnd"/>
      <w:r>
        <w:rPr>
          <w:rFonts w:ascii="Times New Roman" w:eastAsia="仿宋_GB2312" w:hAnsi="Times New Roman" w:cs="Times New Roman" w:hint="eastAsia"/>
          <w:sz w:val="32"/>
          <w:szCs w:val="32"/>
        </w:rPr>
        <w:t>的地方性法规、政府规章草案和规范性文件，促进我市住建行业的健康发展；加强房地产市场监督管理，保障城镇低收入家庭住房和正常的房地产市场秩序；建立工程建设标准，提高我市建设行业安全生产能力和建筑工程质量；推进建筑节能减排，实现建筑节能减排、绿色建筑发展和建设行业信息化；指导城市建设和管理工作，加大城镇配套设施建设和改善居民居住条件的投入；强化建筑市场生态治理力度，实行</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个标准落实情况常态化检查，不合格者一律封停整改。</w:t>
      </w:r>
    </w:p>
    <w:p w:rsidR="00F33E30" w:rsidRDefault="0079120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F33E30" w:rsidRDefault="00791201">
      <w:pPr>
        <w:pStyle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高铁南广场管理。</w:t>
      </w:r>
    </w:p>
    <w:p w:rsidR="00F33E30" w:rsidRDefault="00791201">
      <w:pPr>
        <w:pStyle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绩效目标：确保高铁南站广场日常维护正常进行。</w:t>
      </w:r>
    </w:p>
    <w:p w:rsidR="00F33E30" w:rsidRDefault="00791201">
      <w:pPr>
        <w:pStyle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绩效指标：日常维护达标率；市民、旅客满意度。</w:t>
      </w:r>
    </w:p>
    <w:p w:rsidR="00F33E30" w:rsidRDefault="0079120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F33E30" w:rsidRDefault="00791201">
      <w:pPr>
        <w:pStyle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、完善制度建设。制定《廊坊市住建局预算绩效管理制度》，细化《廊坊市内部控制手册》内容，为全年预算绩效目标的实现奠定制度基础。</w:t>
      </w:r>
    </w:p>
    <w:p w:rsidR="00F33E30" w:rsidRDefault="00791201">
      <w:pPr>
        <w:pStyle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、加强支出管理。根据</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年预算项目的申报情况，分别成立项目组（仅限于专项项目类预算），确定项目联系人，编细编实预算，加快履行政府采购手续、尽快启动项目、</w:t>
      </w:r>
      <w:r>
        <w:rPr>
          <w:rFonts w:ascii="Times New Roman" w:eastAsia="仿宋_GB2312" w:hAnsi="Times New Roman" w:cs="Times New Roman" w:hint="eastAsia"/>
          <w:sz w:val="32"/>
          <w:szCs w:val="32"/>
        </w:rPr>
        <w:lastRenderedPageBreak/>
        <w:t>及时支付资金、</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月底前细化代编预算、按规定及时下达资金等多种措施，确保支出进度达标。</w:t>
      </w:r>
    </w:p>
    <w:p w:rsidR="00F33E30" w:rsidRDefault="00791201">
      <w:pPr>
        <w:pStyle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、加强绩效运行监控。开展绩效运行监控，发现问题及时采取措施，确保绩效目标如期保质实现。</w:t>
      </w:r>
    </w:p>
    <w:p w:rsidR="00F33E30" w:rsidRDefault="00791201">
      <w:pPr>
        <w:pStyle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、做好绩效自评。按要求开展上年度</w:t>
      </w:r>
      <w:r w:rsidR="008A64A7">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预算绩效自评和重点评价工作，对评价中发现的问题及时整改，调整优化支出结构，提高财政资金使用效益。</w:t>
      </w:r>
    </w:p>
    <w:p w:rsidR="00F33E30" w:rsidRDefault="00791201">
      <w:pPr>
        <w:pStyle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、规范财务资产管理。完善财务管理制度，严格审批程序，加强固定资产登记、使用和报废处置管理，做到支出合理，物尽其用。</w:t>
      </w:r>
    </w:p>
    <w:p w:rsidR="00F33E30" w:rsidRDefault="00791201">
      <w:pPr>
        <w:pStyle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加强内部监督。强化内部监督制度建设，对绩效运行情况、重大支出决策、对外投资、资产处置及其他重要经济业务事项的决策和执行进行督导，对会计资料进行内部审计，并配合做好审计、财政监督等外部监督工作，确保财政资金安全有效。</w:t>
      </w:r>
      <w:r>
        <w:rPr>
          <w:rFonts w:ascii="Times New Roman" w:eastAsia="仿宋_GB2312" w:hAnsi="Times New Roman" w:cs="Times New Roman" w:hint="eastAsia"/>
          <w:sz w:val="32"/>
          <w:szCs w:val="32"/>
        </w:rPr>
        <w:t xml:space="preserve">          </w:t>
      </w:r>
    </w:p>
    <w:p w:rsidR="00F33E30" w:rsidRDefault="00791201">
      <w:pPr>
        <w:pStyle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、加强宣传培训调研等。加强人员培训，提高本</w:t>
      </w:r>
      <w:r w:rsidR="008A64A7">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职工业务素质；加强调研，提出优化财政资金配置、提高资金使用效益的</w:t>
      </w:r>
      <w:proofErr w:type="gramStart"/>
      <w:r>
        <w:rPr>
          <w:rFonts w:ascii="Times New Roman" w:eastAsia="仿宋_GB2312" w:hAnsi="Times New Roman" w:cs="Times New Roman" w:hint="eastAsia"/>
          <w:sz w:val="32"/>
          <w:szCs w:val="32"/>
        </w:rPr>
        <w:t>意见意见</w:t>
      </w:r>
      <w:proofErr w:type="gramEnd"/>
      <w:r>
        <w:rPr>
          <w:rFonts w:ascii="Times New Roman" w:eastAsia="仿宋_GB2312" w:hAnsi="Times New Roman" w:cs="Times New Roman" w:hint="eastAsia"/>
          <w:sz w:val="32"/>
          <w:szCs w:val="32"/>
        </w:rPr>
        <w:t>；加大宣传力度，强化预算绩效管理意识，促进预算绩效管理水平进一步提升。</w:t>
      </w:r>
    </w:p>
    <w:p w:rsidR="00F33E30" w:rsidRDefault="00791201">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第二部分资金绩效目标</w:t>
      </w:r>
    </w:p>
    <w:p w:rsidR="00F33E30" w:rsidRDefault="00791201">
      <w:pPr>
        <w:rPr>
          <w:rFonts w:ascii="Times New Roman" w:eastAsia="仿宋_GB2312" w:hAnsi="Times New Roman" w:cs="Times New Roman"/>
          <w:sz w:val="28"/>
        </w:rPr>
      </w:pPr>
      <w:r>
        <w:rPr>
          <w:rFonts w:ascii="Times New Roman" w:eastAsia="仿宋_GB2312" w:hAnsi="Times New Roman" w:cs="Times New Roman"/>
          <w:sz w:val="28"/>
        </w:rPr>
        <w:br w:type="page"/>
      </w:r>
    </w:p>
    <w:p w:rsidR="00F33E30" w:rsidRDefault="00791201">
      <w:pPr>
        <w:ind w:firstLine="560"/>
        <w:outlineLvl w:val="3"/>
        <w:rPr>
          <w:rFonts w:ascii="方正仿宋_GBK" w:eastAsia="方正仿宋_GBK" w:hAnsi="方正仿宋_GBK" w:cs="方正仿宋_GBK"/>
          <w:color w:val="000000"/>
          <w:sz w:val="28"/>
        </w:rPr>
      </w:pPr>
      <w:r>
        <w:rPr>
          <w:rFonts w:ascii="Times New Roman" w:eastAsia="仿宋_GB2312" w:hAnsi="Times New Roman" w:cs="Times New Roman"/>
          <w:sz w:val="28"/>
        </w:rPr>
        <w:lastRenderedPageBreak/>
        <w:t>1.</w:t>
      </w:r>
      <w:r>
        <w:rPr>
          <w:rFonts w:ascii="Times New Roman" w:eastAsia="仿宋_GB2312" w:hAnsi="Times New Roman" w:cs="Times New Roman" w:hint="eastAsia"/>
          <w:sz w:val="32"/>
          <w:szCs w:val="32"/>
        </w:rPr>
        <w:t>新民居、城中村和旧城改造办公室业务经费绩效目标表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F33E30">
        <w:trPr>
          <w:trHeight w:val="442"/>
          <w:jc w:val="center"/>
        </w:trPr>
        <w:tc>
          <w:tcPr>
            <w:tcW w:w="8050" w:type="dxa"/>
            <w:gridSpan w:val="6"/>
            <w:tcBorders>
              <w:top w:val="single" w:sz="6" w:space="0" w:color="FFFFFF"/>
              <w:left w:val="single" w:sz="6" w:space="0" w:color="FFFFFF"/>
              <w:right w:val="single" w:sz="6" w:space="0" w:color="FFFFFF"/>
            </w:tcBorders>
            <w:vAlign w:val="center"/>
          </w:tcPr>
          <w:p w:rsidR="00F33E30" w:rsidRDefault="00791201">
            <w:pPr>
              <w:pStyle w:val="5"/>
              <w:ind w:firstLineChars="100" w:firstLine="210"/>
            </w:pPr>
            <w:r>
              <w:t>333008香河县支油支铁服务中心</w:t>
            </w:r>
          </w:p>
        </w:tc>
        <w:tc>
          <w:tcPr>
            <w:tcW w:w="1843" w:type="dxa"/>
            <w:tcBorders>
              <w:top w:val="single" w:sz="6" w:space="0" w:color="FFFFFF"/>
              <w:left w:val="single" w:sz="6" w:space="0" w:color="FFFFFF"/>
              <w:right w:val="single" w:sz="6" w:space="0" w:color="FFFFFF"/>
            </w:tcBorders>
            <w:vAlign w:val="center"/>
          </w:tcPr>
          <w:p w:rsidR="00F33E30" w:rsidRDefault="00791201">
            <w:pPr>
              <w:pStyle w:val="4"/>
            </w:pPr>
            <w:r>
              <w:t>单位：万元</w:t>
            </w:r>
          </w:p>
        </w:tc>
      </w:tr>
      <w:tr w:rsidR="00F33E30">
        <w:trPr>
          <w:trHeight w:val="933"/>
          <w:jc w:val="center"/>
        </w:trPr>
        <w:tc>
          <w:tcPr>
            <w:tcW w:w="1276" w:type="dxa"/>
            <w:vAlign w:val="center"/>
          </w:tcPr>
          <w:p w:rsidR="00F33E30" w:rsidRDefault="00791201">
            <w:pPr>
              <w:pStyle w:val="10"/>
            </w:pPr>
            <w:r>
              <w:t>项目编码</w:t>
            </w:r>
          </w:p>
        </w:tc>
        <w:tc>
          <w:tcPr>
            <w:tcW w:w="2608" w:type="dxa"/>
            <w:gridSpan w:val="2"/>
            <w:vAlign w:val="center"/>
          </w:tcPr>
          <w:p w:rsidR="00F33E30" w:rsidRDefault="00791201">
            <w:pPr>
              <w:pStyle w:val="20"/>
            </w:pPr>
            <w:r>
              <w:t>13102423P00001410020Y</w:t>
            </w:r>
          </w:p>
        </w:tc>
        <w:tc>
          <w:tcPr>
            <w:tcW w:w="1587" w:type="dxa"/>
            <w:vAlign w:val="center"/>
          </w:tcPr>
          <w:p w:rsidR="00F33E30" w:rsidRDefault="00791201">
            <w:pPr>
              <w:pStyle w:val="10"/>
            </w:pPr>
            <w:r>
              <w:t>项目名称</w:t>
            </w:r>
          </w:p>
        </w:tc>
        <w:tc>
          <w:tcPr>
            <w:tcW w:w="4422" w:type="dxa"/>
            <w:gridSpan w:val="3"/>
            <w:vAlign w:val="center"/>
          </w:tcPr>
          <w:p w:rsidR="00F33E30" w:rsidRDefault="00791201">
            <w:pPr>
              <w:pStyle w:val="20"/>
            </w:pPr>
            <w:r>
              <w:t>新民居、城中村和旧城改造办公室业务经费</w:t>
            </w:r>
          </w:p>
        </w:tc>
      </w:tr>
      <w:tr w:rsidR="00F33E30">
        <w:trPr>
          <w:trHeight w:val="369"/>
          <w:jc w:val="center"/>
        </w:trPr>
        <w:tc>
          <w:tcPr>
            <w:tcW w:w="1276" w:type="dxa"/>
            <w:vMerge w:val="restart"/>
            <w:vAlign w:val="center"/>
          </w:tcPr>
          <w:p w:rsidR="00F33E30" w:rsidRDefault="00791201">
            <w:pPr>
              <w:pStyle w:val="10"/>
            </w:pPr>
            <w:r>
              <w:t>预算规模及资金用途</w:t>
            </w:r>
          </w:p>
        </w:tc>
        <w:tc>
          <w:tcPr>
            <w:tcW w:w="1276" w:type="dxa"/>
            <w:vAlign w:val="center"/>
          </w:tcPr>
          <w:p w:rsidR="00F33E30" w:rsidRDefault="00791201">
            <w:pPr>
              <w:pStyle w:val="10"/>
            </w:pPr>
            <w:r>
              <w:t>预算数</w:t>
            </w:r>
          </w:p>
        </w:tc>
        <w:tc>
          <w:tcPr>
            <w:tcW w:w="1332" w:type="dxa"/>
            <w:vAlign w:val="center"/>
          </w:tcPr>
          <w:p w:rsidR="00F33E30" w:rsidRDefault="00791201">
            <w:pPr>
              <w:pStyle w:val="20"/>
            </w:pPr>
            <w:r>
              <w:t>26.60</w:t>
            </w:r>
          </w:p>
        </w:tc>
        <w:tc>
          <w:tcPr>
            <w:tcW w:w="1587" w:type="dxa"/>
            <w:vAlign w:val="center"/>
          </w:tcPr>
          <w:p w:rsidR="00F33E30" w:rsidRDefault="00791201">
            <w:pPr>
              <w:pStyle w:val="10"/>
            </w:pPr>
            <w:r>
              <w:t>其中：财政    资金</w:t>
            </w:r>
          </w:p>
        </w:tc>
        <w:tc>
          <w:tcPr>
            <w:tcW w:w="1304" w:type="dxa"/>
            <w:vAlign w:val="center"/>
          </w:tcPr>
          <w:p w:rsidR="00F33E30" w:rsidRDefault="00791201">
            <w:pPr>
              <w:pStyle w:val="20"/>
            </w:pPr>
            <w:r>
              <w:t>26.60</w:t>
            </w:r>
          </w:p>
        </w:tc>
        <w:tc>
          <w:tcPr>
            <w:tcW w:w="1276" w:type="dxa"/>
            <w:vAlign w:val="center"/>
          </w:tcPr>
          <w:p w:rsidR="00F33E30" w:rsidRDefault="00791201">
            <w:pPr>
              <w:pStyle w:val="10"/>
            </w:pPr>
            <w:r>
              <w:t>其他资金</w:t>
            </w:r>
          </w:p>
        </w:tc>
        <w:tc>
          <w:tcPr>
            <w:tcW w:w="1843" w:type="dxa"/>
            <w:vAlign w:val="center"/>
          </w:tcPr>
          <w:p w:rsidR="00F33E30" w:rsidRDefault="00791201">
            <w:pPr>
              <w:pStyle w:val="20"/>
            </w:pPr>
            <w:r>
              <w:t xml:space="preserve"> </w:t>
            </w:r>
          </w:p>
        </w:tc>
      </w:tr>
      <w:tr w:rsidR="00F33E30">
        <w:trPr>
          <w:trHeight w:val="369"/>
          <w:jc w:val="center"/>
        </w:trPr>
        <w:tc>
          <w:tcPr>
            <w:tcW w:w="1276" w:type="dxa"/>
            <w:vMerge/>
          </w:tcPr>
          <w:p w:rsidR="00F33E30" w:rsidRDefault="00F33E30"/>
        </w:tc>
        <w:tc>
          <w:tcPr>
            <w:tcW w:w="8617" w:type="dxa"/>
            <w:gridSpan w:val="6"/>
            <w:vAlign w:val="center"/>
          </w:tcPr>
          <w:p w:rsidR="00F33E30" w:rsidRDefault="00791201">
            <w:pPr>
              <w:pStyle w:val="20"/>
            </w:pPr>
            <w:r>
              <w:t>用于维持新民居、城中村和旧城改造办公室运转开支。</w:t>
            </w:r>
          </w:p>
        </w:tc>
      </w:tr>
      <w:tr w:rsidR="00F33E30">
        <w:trPr>
          <w:trHeight w:val="369"/>
          <w:jc w:val="center"/>
        </w:trPr>
        <w:tc>
          <w:tcPr>
            <w:tcW w:w="1276" w:type="dxa"/>
            <w:vMerge w:val="restart"/>
            <w:vAlign w:val="center"/>
          </w:tcPr>
          <w:p w:rsidR="00F33E30" w:rsidRDefault="00791201">
            <w:pPr>
              <w:pStyle w:val="10"/>
            </w:pPr>
            <w:r>
              <w:t>资金支出计划（%）</w:t>
            </w:r>
          </w:p>
        </w:tc>
        <w:tc>
          <w:tcPr>
            <w:tcW w:w="2608" w:type="dxa"/>
            <w:gridSpan w:val="2"/>
            <w:vAlign w:val="center"/>
          </w:tcPr>
          <w:p w:rsidR="00F33E30" w:rsidRDefault="00791201">
            <w:pPr>
              <w:pStyle w:val="10"/>
            </w:pPr>
            <w:r>
              <w:t>3月底</w:t>
            </w:r>
          </w:p>
        </w:tc>
        <w:tc>
          <w:tcPr>
            <w:tcW w:w="1587" w:type="dxa"/>
            <w:vAlign w:val="center"/>
          </w:tcPr>
          <w:p w:rsidR="00F33E30" w:rsidRDefault="00791201">
            <w:pPr>
              <w:pStyle w:val="10"/>
            </w:pPr>
            <w:r>
              <w:t>6月底</w:t>
            </w:r>
          </w:p>
        </w:tc>
        <w:tc>
          <w:tcPr>
            <w:tcW w:w="1304" w:type="dxa"/>
            <w:vAlign w:val="center"/>
          </w:tcPr>
          <w:p w:rsidR="00F33E30" w:rsidRDefault="00791201">
            <w:pPr>
              <w:pStyle w:val="10"/>
            </w:pPr>
            <w:r>
              <w:t>10月底</w:t>
            </w:r>
          </w:p>
        </w:tc>
        <w:tc>
          <w:tcPr>
            <w:tcW w:w="3118" w:type="dxa"/>
            <w:gridSpan w:val="2"/>
            <w:vAlign w:val="center"/>
          </w:tcPr>
          <w:p w:rsidR="00F33E30" w:rsidRDefault="00791201">
            <w:pPr>
              <w:pStyle w:val="10"/>
            </w:pPr>
            <w:r>
              <w:t>12月底</w:t>
            </w:r>
          </w:p>
        </w:tc>
      </w:tr>
      <w:tr w:rsidR="00F33E30">
        <w:trPr>
          <w:trHeight w:val="369"/>
          <w:jc w:val="center"/>
        </w:trPr>
        <w:tc>
          <w:tcPr>
            <w:tcW w:w="1276" w:type="dxa"/>
            <w:vMerge/>
          </w:tcPr>
          <w:p w:rsidR="00F33E30" w:rsidRDefault="00F33E30"/>
        </w:tc>
        <w:tc>
          <w:tcPr>
            <w:tcW w:w="2608" w:type="dxa"/>
            <w:gridSpan w:val="2"/>
            <w:vAlign w:val="center"/>
          </w:tcPr>
          <w:p w:rsidR="00F33E30" w:rsidRDefault="00791201">
            <w:pPr>
              <w:pStyle w:val="3"/>
            </w:pPr>
            <w:r>
              <w:t>30%</w:t>
            </w:r>
          </w:p>
        </w:tc>
        <w:tc>
          <w:tcPr>
            <w:tcW w:w="1587" w:type="dxa"/>
            <w:vAlign w:val="center"/>
          </w:tcPr>
          <w:p w:rsidR="00F33E30" w:rsidRDefault="00791201">
            <w:pPr>
              <w:pStyle w:val="3"/>
            </w:pPr>
            <w:r>
              <w:t>60%</w:t>
            </w:r>
          </w:p>
        </w:tc>
        <w:tc>
          <w:tcPr>
            <w:tcW w:w="1304" w:type="dxa"/>
            <w:vAlign w:val="center"/>
          </w:tcPr>
          <w:p w:rsidR="00F33E30" w:rsidRDefault="00791201">
            <w:pPr>
              <w:pStyle w:val="3"/>
            </w:pPr>
            <w:r>
              <w:t>90%</w:t>
            </w:r>
          </w:p>
        </w:tc>
        <w:tc>
          <w:tcPr>
            <w:tcW w:w="3118" w:type="dxa"/>
            <w:gridSpan w:val="2"/>
            <w:vAlign w:val="center"/>
          </w:tcPr>
          <w:p w:rsidR="00F33E30" w:rsidRDefault="00791201">
            <w:pPr>
              <w:pStyle w:val="3"/>
            </w:pPr>
            <w:r>
              <w:t>100%</w:t>
            </w:r>
          </w:p>
        </w:tc>
      </w:tr>
      <w:tr w:rsidR="00F33E30">
        <w:trPr>
          <w:trHeight w:val="369"/>
          <w:jc w:val="center"/>
        </w:trPr>
        <w:tc>
          <w:tcPr>
            <w:tcW w:w="1276" w:type="dxa"/>
            <w:vAlign w:val="center"/>
          </w:tcPr>
          <w:p w:rsidR="00F33E30" w:rsidRDefault="00791201">
            <w:pPr>
              <w:pStyle w:val="10"/>
            </w:pPr>
            <w:r>
              <w:t>绩效目标</w:t>
            </w:r>
          </w:p>
        </w:tc>
        <w:tc>
          <w:tcPr>
            <w:tcW w:w="8617" w:type="dxa"/>
            <w:gridSpan w:val="6"/>
            <w:vAlign w:val="center"/>
          </w:tcPr>
          <w:p w:rsidR="00F33E30" w:rsidRDefault="00791201">
            <w:pPr>
              <w:pStyle w:val="20"/>
            </w:pPr>
            <w:r>
              <w:t>1.维持正常办公需求。加快推进新民居建设和城中村、旧城改造工作，有效改善群众居住条件、完善城市基础设施、提升城市服务功能。</w:t>
            </w:r>
          </w:p>
        </w:tc>
      </w:tr>
    </w:tbl>
    <w:p w:rsidR="00F33E30" w:rsidRDefault="00791201">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F33E30">
        <w:trPr>
          <w:trHeight w:val="397"/>
          <w:tblHeader/>
          <w:jc w:val="center"/>
        </w:trPr>
        <w:tc>
          <w:tcPr>
            <w:tcW w:w="1276" w:type="dxa"/>
            <w:vAlign w:val="center"/>
          </w:tcPr>
          <w:p w:rsidR="00F33E30" w:rsidRDefault="00791201">
            <w:pPr>
              <w:pStyle w:val="10"/>
            </w:pPr>
            <w:r>
              <w:t>一级指标</w:t>
            </w:r>
          </w:p>
        </w:tc>
        <w:tc>
          <w:tcPr>
            <w:tcW w:w="1276" w:type="dxa"/>
            <w:vAlign w:val="center"/>
          </w:tcPr>
          <w:p w:rsidR="00F33E30" w:rsidRDefault="00791201">
            <w:pPr>
              <w:pStyle w:val="10"/>
            </w:pPr>
            <w:r>
              <w:t>二级指标</w:t>
            </w:r>
          </w:p>
        </w:tc>
        <w:tc>
          <w:tcPr>
            <w:tcW w:w="1332" w:type="dxa"/>
            <w:vAlign w:val="center"/>
          </w:tcPr>
          <w:p w:rsidR="00F33E30" w:rsidRDefault="00791201">
            <w:pPr>
              <w:pStyle w:val="10"/>
            </w:pPr>
            <w:r>
              <w:t>三级指标</w:t>
            </w:r>
          </w:p>
        </w:tc>
        <w:tc>
          <w:tcPr>
            <w:tcW w:w="2891" w:type="dxa"/>
            <w:vAlign w:val="center"/>
          </w:tcPr>
          <w:p w:rsidR="00F33E30" w:rsidRDefault="00791201">
            <w:pPr>
              <w:pStyle w:val="10"/>
            </w:pPr>
            <w:r>
              <w:t>绩效指标描述</w:t>
            </w:r>
          </w:p>
        </w:tc>
        <w:tc>
          <w:tcPr>
            <w:tcW w:w="1276" w:type="dxa"/>
            <w:vAlign w:val="center"/>
          </w:tcPr>
          <w:p w:rsidR="00F33E30" w:rsidRDefault="00791201">
            <w:pPr>
              <w:pStyle w:val="10"/>
            </w:pPr>
            <w:r>
              <w:t>指标值</w:t>
            </w:r>
          </w:p>
        </w:tc>
        <w:tc>
          <w:tcPr>
            <w:tcW w:w="1843" w:type="dxa"/>
            <w:vAlign w:val="center"/>
          </w:tcPr>
          <w:p w:rsidR="00F33E30" w:rsidRDefault="00791201">
            <w:pPr>
              <w:pStyle w:val="10"/>
            </w:pPr>
            <w:r>
              <w:t>指标值确定依据</w:t>
            </w:r>
          </w:p>
        </w:tc>
      </w:tr>
      <w:tr w:rsidR="00F33E30">
        <w:trPr>
          <w:trHeight w:val="2938"/>
          <w:jc w:val="center"/>
        </w:trPr>
        <w:tc>
          <w:tcPr>
            <w:tcW w:w="1276" w:type="dxa"/>
            <w:vMerge w:val="restart"/>
            <w:vAlign w:val="center"/>
          </w:tcPr>
          <w:p w:rsidR="00F33E30" w:rsidRDefault="00791201">
            <w:pPr>
              <w:pStyle w:val="3"/>
            </w:pPr>
            <w:r>
              <w:t>产标</w:t>
            </w:r>
          </w:p>
        </w:tc>
        <w:tc>
          <w:tcPr>
            <w:tcW w:w="1276" w:type="dxa"/>
            <w:vAlign w:val="center"/>
          </w:tcPr>
          <w:p w:rsidR="00F33E30" w:rsidRDefault="00791201">
            <w:pPr>
              <w:pStyle w:val="20"/>
            </w:pPr>
            <w:r>
              <w:t>数量指标</w:t>
            </w:r>
          </w:p>
        </w:tc>
        <w:tc>
          <w:tcPr>
            <w:tcW w:w="1332" w:type="dxa"/>
            <w:vAlign w:val="center"/>
          </w:tcPr>
          <w:p w:rsidR="00F33E30" w:rsidRDefault="00791201">
            <w:pPr>
              <w:pStyle w:val="20"/>
            </w:pPr>
            <w:r>
              <w:t>协调业务数量</w:t>
            </w:r>
          </w:p>
        </w:tc>
        <w:tc>
          <w:tcPr>
            <w:tcW w:w="2891" w:type="dxa"/>
            <w:vAlign w:val="center"/>
          </w:tcPr>
          <w:p w:rsidR="00F33E30" w:rsidRDefault="00791201">
            <w:pPr>
              <w:pStyle w:val="20"/>
            </w:pPr>
            <w:r>
              <w:t>年度业务数量包括协调推进村街回迁安置、协调加快工程建设和城中村旧城改造工作工作等。</w:t>
            </w:r>
          </w:p>
        </w:tc>
        <w:tc>
          <w:tcPr>
            <w:tcW w:w="1276" w:type="dxa"/>
            <w:vAlign w:val="center"/>
          </w:tcPr>
          <w:p w:rsidR="00F33E30" w:rsidRDefault="00791201">
            <w:pPr>
              <w:pStyle w:val="20"/>
            </w:pPr>
            <w:r>
              <w:t>≥3项</w:t>
            </w:r>
          </w:p>
        </w:tc>
        <w:tc>
          <w:tcPr>
            <w:tcW w:w="1843" w:type="dxa"/>
            <w:vAlign w:val="center"/>
          </w:tcPr>
          <w:p w:rsidR="00F33E30" w:rsidRDefault="00791201">
            <w:pPr>
              <w:pStyle w:val="20"/>
            </w:pPr>
            <w:r>
              <w:t>完成县委、县政府交办的各项工作及新民居和城中村、旧城改造业务日常工作。</w:t>
            </w:r>
          </w:p>
        </w:tc>
      </w:tr>
      <w:tr w:rsidR="00F33E30">
        <w:trPr>
          <w:trHeight w:val="928"/>
          <w:jc w:val="center"/>
        </w:trPr>
        <w:tc>
          <w:tcPr>
            <w:tcW w:w="1276" w:type="dxa"/>
            <w:vMerge/>
            <w:vAlign w:val="center"/>
          </w:tcPr>
          <w:p w:rsidR="00F33E30" w:rsidRDefault="00F33E30"/>
        </w:tc>
        <w:tc>
          <w:tcPr>
            <w:tcW w:w="1276" w:type="dxa"/>
            <w:vAlign w:val="center"/>
          </w:tcPr>
          <w:p w:rsidR="00F33E30" w:rsidRDefault="00791201">
            <w:pPr>
              <w:pStyle w:val="20"/>
            </w:pPr>
            <w:r>
              <w:t>质量指标</w:t>
            </w:r>
          </w:p>
        </w:tc>
        <w:tc>
          <w:tcPr>
            <w:tcW w:w="1332" w:type="dxa"/>
            <w:vAlign w:val="center"/>
          </w:tcPr>
          <w:p w:rsidR="00F33E30" w:rsidRDefault="00791201">
            <w:pPr>
              <w:pStyle w:val="20"/>
            </w:pPr>
            <w:r>
              <w:t>运转保障率</w:t>
            </w:r>
          </w:p>
        </w:tc>
        <w:tc>
          <w:tcPr>
            <w:tcW w:w="2891" w:type="dxa"/>
            <w:vAlign w:val="center"/>
          </w:tcPr>
          <w:p w:rsidR="00F33E30" w:rsidRDefault="00791201">
            <w:pPr>
              <w:pStyle w:val="20"/>
            </w:pPr>
            <w:r>
              <w:t>保障工作的完成</w:t>
            </w:r>
          </w:p>
        </w:tc>
        <w:tc>
          <w:tcPr>
            <w:tcW w:w="1276" w:type="dxa"/>
            <w:vAlign w:val="center"/>
          </w:tcPr>
          <w:p w:rsidR="00F33E30" w:rsidRDefault="00791201">
            <w:pPr>
              <w:pStyle w:val="20"/>
            </w:pPr>
            <w:r>
              <w:t>100%</w:t>
            </w:r>
          </w:p>
        </w:tc>
        <w:tc>
          <w:tcPr>
            <w:tcW w:w="1843" w:type="dxa"/>
            <w:vAlign w:val="center"/>
          </w:tcPr>
          <w:p w:rsidR="00F33E30" w:rsidRDefault="00791201">
            <w:pPr>
              <w:pStyle w:val="20"/>
            </w:pPr>
            <w:r>
              <w:t>县委、县政府工作要求</w:t>
            </w:r>
          </w:p>
        </w:tc>
      </w:tr>
      <w:tr w:rsidR="00F33E30">
        <w:trPr>
          <w:trHeight w:val="369"/>
          <w:jc w:val="center"/>
        </w:trPr>
        <w:tc>
          <w:tcPr>
            <w:tcW w:w="1276" w:type="dxa"/>
            <w:vMerge/>
            <w:vAlign w:val="center"/>
          </w:tcPr>
          <w:p w:rsidR="00F33E30" w:rsidRDefault="00F33E30"/>
        </w:tc>
        <w:tc>
          <w:tcPr>
            <w:tcW w:w="1276" w:type="dxa"/>
            <w:vAlign w:val="center"/>
          </w:tcPr>
          <w:p w:rsidR="00F33E30" w:rsidRDefault="00791201">
            <w:pPr>
              <w:pStyle w:val="20"/>
            </w:pPr>
            <w:r>
              <w:t>时效指标</w:t>
            </w:r>
          </w:p>
        </w:tc>
        <w:tc>
          <w:tcPr>
            <w:tcW w:w="1332" w:type="dxa"/>
            <w:vAlign w:val="center"/>
          </w:tcPr>
          <w:p w:rsidR="00F33E30" w:rsidRDefault="00791201">
            <w:pPr>
              <w:pStyle w:val="20"/>
            </w:pPr>
            <w:r>
              <w:t>工作完成及时率</w:t>
            </w:r>
          </w:p>
        </w:tc>
        <w:tc>
          <w:tcPr>
            <w:tcW w:w="2891" w:type="dxa"/>
            <w:vAlign w:val="center"/>
          </w:tcPr>
          <w:p w:rsidR="00F33E30" w:rsidRDefault="00791201">
            <w:pPr>
              <w:pStyle w:val="20"/>
            </w:pPr>
            <w:r>
              <w:t>工作在预算年度完成</w:t>
            </w:r>
          </w:p>
        </w:tc>
        <w:tc>
          <w:tcPr>
            <w:tcW w:w="1276" w:type="dxa"/>
            <w:vAlign w:val="center"/>
          </w:tcPr>
          <w:p w:rsidR="00F33E30" w:rsidRDefault="00791201">
            <w:pPr>
              <w:pStyle w:val="20"/>
            </w:pPr>
            <w:r>
              <w:t>100%</w:t>
            </w:r>
          </w:p>
        </w:tc>
        <w:tc>
          <w:tcPr>
            <w:tcW w:w="1843" w:type="dxa"/>
            <w:vAlign w:val="center"/>
          </w:tcPr>
          <w:p w:rsidR="00F33E30" w:rsidRDefault="00791201">
            <w:pPr>
              <w:pStyle w:val="20"/>
            </w:pPr>
            <w:r>
              <w:t>县委、县政府工作要求</w:t>
            </w:r>
          </w:p>
        </w:tc>
      </w:tr>
      <w:tr w:rsidR="00F33E30">
        <w:trPr>
          <w:trHeight w:val="369"/>
          <w:jc w:val="center"/>
        </w:trPr>
        <w:tc>
          <w:tcPr>
            <w:tcW w:w="1276" w:type="dxa"/>
            <w:vMerge/>
            <w:vAlign w:val="center"/>
          </w:tcPr>
          <w:p w:rsidR="00F33E30" w:rsidRDefault="00F33E30"/>
        </w:tc>
        <w:tc>
          <w:tcPr>
            <w:tcW w:w="1276" w:type="dxa"/>
            <w:vAlign w:val="center"/>
          </w:tcPr>
          <w:p w:rsidR="00F33E30" w:rsidRDefault="00791201">
            <w:pPr>
              <w:pStyle w:val="20"/>
            </w:pPr>
            <w:r>
              <w:t>成本指标</w:t>
            </w:r>
          </w:p>
        </w:tc>
        <w:tc>
          <w:tcPr>
            <w:tcW w:w="1332" w:type="dxa"/>
            <w:vAlign w:val="center"/>
          </w:tcPr>
          <w:p w:rsidR="00F33E30" w:rsidRDefault="00791201">
            <w:pPr>
              <w:pStyle w:val="20"/>
            </w:pPr>
            <w:r>
              <w:t>业务成本控</w:t>
            </w:r>
            <w:r>
              <w:lastRenderedPageBreak/>
              <w:t>制率</w:t>
            </w:r>
          </w:p>
        </w:tc>
        <w:tc>
          <w:tcPr>
            <w:tcW w:w="2891" w:type="dxa"/>
            <w:vAlign w:val="center"/>
          </w:tcPr>
          <w:p w:rsidR="00F33E30" w:rsidRDefault="00791201">
            <w:pPr>
              <w:pStyle w:val="20"/>
            </w:pPr>
            <w:r>
              <w:lastRenderedPageBreak/>
              <w:t>年度成本控制率</w:t>
            </w:r>
          </w:p>
        </w:tc>
        <w:tc>
          <w:tcPr>
            <w:tcW w:w="1276" w:type="dxa"/>
            <w:vAlign w:val="center"/>
          </w:tcPr>
          <w:p w:rsidR="00F33E30" w:rsidRDefault="00791201">
            <w:pPr>
              <w:pStyle w:val="20"/>
            </w:pPr>
            <w:r>
              <w:t>≤100%</w:t>
            </w:r>
          </w:p>
        </w:tc>
        <w:tc>
          <w:tcPr>
            <w:tcW w:w="1843" w:type="dxa"/>
            <w:vAlign w:val="center"/>
          </w:tcPr>
          <w:p w:rsidR="00F33E30" w:rsidRDefault="00791201">
            <w:pPr>
              <w:pStyle w:val="20"/>
            </w:pPr>
            <w:r>
              <w:t>往年业务经费支</w:t>
            </w:r>
            <w:r>
              <w:lastRenderedPageBreak/>
              <w:t>出情况。</w:t>
            </w:r>
          </w:p>
        </w:tc>
      </w:tr>
      <w:tr w:rsidR="00F33E30">
        <w:trPr>
          <w:trHeight w:val="369"/>
          <w:jc w:val="center"/>
        </w:trPr>
        <w:tc>
          <w:tcPr>
            <w:tcW w:w="1276" w:type="dxa"/>
            <w:vMerge w:val="restart"/>
            <w:vAlign w:val="center"/>
          </w:tcPr>
          <w:p w:rsidR="00F33E30" w:rsidRDefault="00791201">
            <w:pPr>
              <w:pStyle w:val="3"/>
            </w:pPr>
            <w:r>
              <w:lastRenderedPageBreak/>
              <w:t>效益指标</w:t>
            </w:r>
          </w:p>
        </w:tc>
        <w:tc>
          <w:tcPr>
            <w:tcW w:w="1276" w:type="dxa"/>
            <w:vAlign w:val="center"/>
          </w:tcPr>
          <w:p w:rsidR="00F33E30" w:rsidRDefault="00791201">
            <w:pPr>
              <w:pStyle w:val="20"/>
            </w:pPr>
            <w:r>
              <w:t>社会效益指标</w:t>
            </w:r>
          </w:p>
        </w:tc>
        <w:tc>
          <w:tcPr>
            <w:tcW w:w="1332" w:type="dxa"/>
            <w:vAlign w:val="center"/>
          </w:tcPr>
          <w:p w:rsidR="00F33E30" w:rsidRDefault="00791201">
            <w:pPr>
              <w:pStyle w:val="20"/>
            </w:pPr>
            <w:r>
              <w:t>保障工程建设实施进度达标率</w:t>
            </w:r>
          </w:p>
        </w:tc>
        <w:tc>
          <w:tcPr>
            <w:tcW w:w="2891" w:type="dxa"/>
            <w:vAlign w:val="center"/>
          </w:tcPr>
          <w:p w:rsidR="00F33E30" w:rsidRDefault="00791201">
            <w:pPr>
              <w:pStyle w:val="20"/>
            </w:pPr>
            <w:r>
              <w:t>各项协调工作的达标</w:t>
            </w:r>
          </w:p>
        </w:tc>
        <w:tc>
          <w:tcPr>
            <w:tcW w:w="1276" w:type="dxa"/>
            <w:vAlign w:val="center"/>
          </w:tcPr>
          <w:p w:rsidR="00F33E30" w:rsidRDefault="00791201">
            <w:pPr>
              <w:pStyle w:val="20"/>
            </w:pPr>
            <w:r>
              <w:t>100%</w:t>
            </w:r>
          </w:p>
        </w:tc>
        <w:tc>
          <w:tcPr>
            <w:tcW w:w="1843" w:type="dxa"/>
            <w:vAlign w:val="center"/>
          </w:tcPr>
          <w:p w:rsidR="00F33E30" w:rsidRDefault="00791201">
            <w:pPr>
              <w:pStyle w:val="20"/>
            </w:pPr>
            <w:r>
              <w:t>县委、县政府工作要求</w:t>
            </w:r>
          </w:p>
        </w:tc>
      </w:tr>
      <w:tr w:rsidR="00F33E30">
        <w:trPr>
          <w:trHeight w:val="369"/>
          <w:jc w:val="center"/>
        </w:trPr>
        <w:tc>
          <w:tcPr>
            <w:tcW w:w="1276" w:type="dxa"/>
            <w:vMerge/>
            <w:vAlign w:val="center"/>
          </w:tcPr>
          <w:p w:rsidR="00F33E30" w:rsidRDefault="00F33E30"/>
        </w:tc>
        <w:tc>
          <w:tcPr>
            <w:tcW w:w="1276" w:type="dxa"/>
            <w:vAlign w:val="center"/>
          </w:tcPr>
          <w:p w:rsidR="00F33E30" w:rsidRDefault="00791201">
            <w:pPr>
              <w:pStyle w:val="20"/>
            </w:pPr>
            <w:r>
              <w:t>可持续影响指标</w:t>
            </w:r>
          </w:p>
        </w:tc>
        <w:tc>
          <w:tcPr>
            <w:tcW w:w="1332" w:type="dxa"/>
            <w:vAlign w:val="center"/>
          </w:tcPr>
          <w:p w:rsidR="00F33E30" w:rsidRDefault="00791201">
            <w:pPr>
              <w:pStyle w:val="20"/>
            </w:pPr>
            <w:r>
              <w:t>持续推进工程建设的保障率</w:t>
            </w:r>
          </w:p>
        </w:tc>
        <w:tc>
          <w:tcPr>
            <w:tcW w:w="2891" w:type="dxa"/>
            <w:vAlign w:val="center"/>
          </w:tcPr>
          <w:p w:rsidR="00F33E30" w:rsidRDefault="00791201">
            <w:pPr>
              <w:pStyle w:val="20"/>
            </w:pPr>
            <w:r>
              <w:t>各项业务完成率</w:t>
            </w:r>
          </w:p>
        </w:tc>
        <w:tc>
          <w:tcPr>
            <w:tcW w:w="1276" w:type="dxa"/>
            <w:vAlign w:val="center"/>
          </w:tcPr>
          <w:p w:rsidR="00F33E30" w:rsidRDefault="00791201">
            <w:pPr>
              <w:pStyle w:val="20"/>
            </w:pPr>
            <w:r>
              <w:t>100%</w:t>
            </w:r>
          </w:p>
        </w:tc>
        <w:tc>
          <w:tcPr>
            <w:tcW w:w="1843" w:type="dxa"/>
            <w:vAlign w:val="center"/>
          </w:tcPr>
          <w:p w:rsidR="00F33E30" w:rsidRDefault="00791201">
            <w:pPr>
              <w:pStyle w:val="20"/>
            </w:pPr>
            <w:r>
              <w:t>县委、县政府工作要求</w:t>
            </w:r>
          </w:p>
        </w:tc>
      </w:tr>
      <w:tr w:rsidR="00F33E30">
        <w:trPr>
          <w:trHeight w:val="369"/>
          <w:jc w:val="center"/>
        </w:trPr>
        <w:tc>
          <w:tcPr>
            <w:tcW w:w="1276" w:type="dxa"/>
            <w:vMerge w:val="restart"/>
            <w:vAlign w:val="center"/>
          </w:tcPr>
          <w:p w:rsidR="00F33E30" w:rsidRDefault="00791201">
            <w:pPr>
              <w:pStyle w:val="3"/>
            </w:pPr>
            <w:r>
              <w:t>满意度指标</w:t>
            </w:r>
          </w:p>
        </w:tc>
        <w:tc>
          <w:tcPr>
            <w:tcW w:w="1276" w:type="dxa"/>
            <w:vAlign w:val="center"/>
          </w:tcPr>
          <w:p w:rsidR="00F33E30" w:rsidRDefault="00791201">
            <w:pPr>
              <w:pStyle w:val="20"/>
            </w:pPr>
            <w:r>
              <w:t>服务对象满意度指标</w:t>
            </w:r>
          </w:p>
        </w:tc>
        <w:tc>
          <w:tcPr>
            <w:tcW w:w="1332" w:type="dxa"/>
            <w:vAlign w:val="center"/>
          </w:tcPr>
          <w:p w:rsidR="00F33E30" w:rsidRDefault="00791201">
            <w:pPr>
              <w:pStyle w:val="20"/>
            </w:pPr>
            <w:r>
              <w:t>县委、政府满意度</w:t>
            </w:r>
          </w:p>
        </w:tc>
        <w:tc>
          <w:tcPr>
            <w:tcW w:w="2891" w:type="dxa"/>
            <w:vAlign w:val="center"/>
          </w:tcPr>
          <w:p w:rsidR="00F33E30" w:rsidRDefault="00791201">
            <w:pPr>
              <w:pStyle w:val="20"/>
            </w:pPr>
            <w:r>
              <w:t>县委、政府对协调工作满意度</w:t>
            </w:r>
          </w:p>
        </w:tc>
        <w:tc>
          <w:tcPr>
            <w:tcW w:w="1276" w:type="dxa"/>
            <w:vAlign w:val="center"/>
          </w:tcPr>
          <w:p w:rsidR="00F33E30" w:rsidRDefault="00791201">
            <w:pPr>
              <w:pStyle w:val="20"/>
            </w:pPr>
            <w:r>
              <w:t>100%</w:t>
            </w:r>
          </w:p>
        </w:tc>
        <w:tc>
          <w:tcPr>
            <w:tcW w:w="1843" w:type="dxa"/>
            <w:vAlign w:val="center"/>
          </w:tcPr>
          <w:p w:rsidR="00F33E30" w:rsidRDefault="00791201">
            <w:pPr>
              <w:pStyle w:val="20"/>
            </w:pPr>
            <w:r>
              <w:t>通过走访、电话访谈或问卷调查等形式。</w:t>
            </w:r>
          </w:p>
        </w:tc>
      </w:tr>
      <w:tr w:rsidR="00F33E30">
        <w:trPr>
          <w:trHeight w:val="369"/>
          <w:jc w:val="center"/>
        </w:trPr>
        <w:tc>
          <w:tcPr>
            <w:tcW w:w="1276" w:type="dxa"/>
            <w:vMerge/>
            <w:vAlign w:val="center"/>
          </w:tcPr>
          <w:p w:rsidR="00F33E30" w:rsidRDefault="00F33E30"/>
        </w:tc>
        <w:tc>
          <w:tcPr>
            <w:tcW w:w="1276" w:type="dxa"/>
            <w:vAlign w:val="center"/>
          </w:tcPr>
          <w:p w:rsidR="00F33E30" w:rsidRDefault="00791201">
            <w:pPr>
              <w:pStyle w:val="20"/>
            </w:pPr>
            <w:r>
              <w:t>服务对象满意度指标</w:t>
            </w:r>
          </w:p>
        </w:tc>
        <w:tc>
          <w:tcPr>
            <w:tcW w:w="1332" w:type="dxa"/>
            <w:vAlign w:val="center"/>
          </w:tcPr>
          <w:p w:rsidR="00F33E30" w:rsidRDefault="00791201">
            <w:pPr>
              <w:pStyle w:val="20"/>
            </w:pPr>
            <w:r>
              <w:t>各镇、企业，满意度</w:t>
            </w:r>
          </w:p>
        </w:tc>
        <w:tc>
          <w:tcPr>
            <w:tcW w:w="2891" w:type="dxa"/>
            <w:vAlign w:val="center"/>
          </w:tcPr>
          <w:p w:rsidR="00F33E30" w:rsidRDefault="00791201">
            <w:pPr>
              <w:pStyle w:val="20"/>
            </w:pPr>
            <w:r>
              <w:t>各镇、企业对协调工作满意度</w:t>
            </w:r>
          </w:p>
        </w:tc>
        <w:tc>
          <w:tcPr>
            <w:tcW w:w="1276" w:type="dxa"/>
            <w:vAlign w:val="center"/>
          </w:tcPr>
          <w:p w:rsidR="00F33E30" w:rsidRDefault="00791201">
            <w:pPr>
              <w:pStyle w:val="20"/>
            </w:pPr>
            <w:r>
              <w:t>100%</w:t>
            </w:r>
          </w:p>
        </w:tc>
        <w:tc>
          <w:tcPr>
            <w:tcW w:w="1843" w:type="dxa"/>
            <w:vAlign w:val="center"/>
          </w:tcPr>
          <w:p w:rsidR="00F33E30" w:rsidRDefault="00791201">
            <w:pPr>
              <w:pStyle w:val="20"/>
            </w:pPr>
            <w:r>
              <w:t>通过走访、电话访谈或问卷调查等形式。</w:t>
            </w:r>
          </w:p>
        </w:tc>
      </w:tr>
    </w:tbl>
    <w:p w:rsidR="00F33E30" w:rsidRDefault="00F33E30">
      <w:pPr>
        <w:autoSpaceDE w:val="0"/>
        <w:autoSpaceDN w:val="0"/>
        <w:adjustRightInd w:val="0"/>
        <w:spacing w:line="584" w:lineRule="exact"/>
        <w:ind w:firstLineChars="200" w:firstLine="880"/>
        <w:jc w:val="left"/>
        <w:rPr>
          <w:rFonts w:ascii="Times New Roman" w:eastAsia="黑体" w:hAnsi="黑体" w:cs="Times New Roman"/>
          <w:color w:val="FF0000"/>
          <w:sz w:val="44"/>
          <w:szCs w:val="44"/>
        </w:rPr>
      </w:pPr>
    </w:p>
    <w:p w:rsidR="00BF3FB4" w:rsidRDefault="00BF3FB4">
      <w:pPr>
        <w:autoSpaceDE w:val="0"/>
        <w:autoSpaceDN w:val="0"/>
        <w:adjustRightInd w:val="0"/>
        <w:spacing w:line="584" w:lineRule="exact"/>
        <w:ind w:firstLineChars="200" w:firstLine="640"/>
        <w:jc w:val="left"/>
        <w:rPr>
          <w:rFonts w:ascii="Times New Roman" w:eastAsia="黑体" w:hAnsi="黑体" w:cs="Times New Roman" w:hint="eastAsia"/>
          <w:sz w:val="32"/>
          <w:szCs w:val="32"/>
        </w:rPr>
      </w:pPr>
    </w:p>
    <w:p w:rsidR="00F33E30" w:rsidRDefault="00F33E30">
      <w:pPr>
        <w:spacing w:line="584" w:lineRule="exact"/>
        <w:jc w:val="center"/>
        <w:outlineLvl w:val="1"/>
        <w:rPr>
          <w:rFonts w:ascii="Times New Roman" w:eastAsia="仿宋_GB2312" w:hAnsi="Times New Roman" w:cs="Times New Roman"/>
          <w:sz w:val="32"/>
          <w:szCs w:val="24"/>
        </w:rPr>
        <w:sectPr w:rsidR="00F33E30">
          <w:footerReference w:type="default" r:id="rId8"/>
          <w:pgSz w:w="11906" w:h="16838"/>
          <w:pgMar w:top="1440" w:right="1800" w:bottom="1440" w:left="1800" w:header="851" w:footer="992" w:gutter="0"/>
          <w:cols w:space="425"/>
          <w:titlePg/>
          <w:docGrid w:type="lines" w:linePitch="312"/>
        </w:sectPr>
      </w:pPr>
      <w:bookmarkStart w:id="1" w:name="_Toc64920910"/>
    </w:p>
    <w:p w:rsidR="00BE743D" w:rsidRDefault="00BE743D" w:rsidP="00BE743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rsidR="00F33E30" w:rsidRDefault="00BE743D" w:rsidP="00BE743D">
      <w:pPr>
        <w:spacing w:line="584" w:lineRule="exact"/>
        <w:ind w:firstLineChars="200" w:firstLine="640"/>
        <w:outlineLvl w:val="1"/>
        <w:rPr>
          <w:rFonts w:ascii="Times New Roman" w:eastAsia="仿宋_GB2312" w:hAnsi="Times New Roman" w:cs="Times New Roman"/>
          <w:sz w:val="32"/>
          <w:szCs w:val="24"/>
        </w:rPr>
      </w:pPr>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23</w:t>
      </w:r>
      <w:r>
        <w:rPr>
          <w:rFonts w:ascii="Times New Roman" w:eastAsia="仿宋_GB2312" w:hAnsi="Times New Roman" w:cs="Times New Roman"/>
          <w:sz w:val="32"/>
          <w:szCs w:val="24"/>
        </w:rPr>
        <w:t>年，我单位安排政府采购预算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F33E30" w:rsidRDefault="00D83596">
      <w:pPr>
        <w:spacing w:line="584" w:lineRule="exact"/>
        <w:jc w:val="center"/>
        <w:outlineLvl w:val="1"/>
        <w:rPr>
          <w:rFonts w:ascii="方正小标宋_GBK" w:eastAsia="方正小标宋_GBK" w:cs="Times New Roman"/>
          <w:sz w:val="32"/>
        </w:rPr>
      </w:pPr>
      <w:r>
        <w:rPr>
          <w:rFonts w:ascii="方正小标宋_GBK" w:eastAsia="方正小标宋_GBK" w:cs="Times New Roman" w:hint="eastAsia"/>
          <w:sz w:val="32"/>
        </w:rPr>
        <w:t>单位</w:t>
      </w:r>
      <w:r w:rsidR="00791201">
        <w:rPr>
          <w:rFonts w:ascii="方正小标宋_GBK" w:eastAsia="方正小标宋_GBK" w:cs="Times New Roman" w:hint="eastAsia"/>
          <w:sz w:val="32"/>
        </w:rPr>
        <w:t>政府采购预算</w:t>
      </w:r>
      <w:bookmarkEnd w:id="1"/>
    </w:p>
    <w:p w:rsidR="00F33E30" w:rsidRDefault="00791201">
      <w:pPr>
        <w:spacing w:line="584" w:lineRule="exact"/>
        <w:jc w:val="left"/>
        <w:outlineLvl w:val="1"/>
        <w:rPr>
          <w:rFonts w:ascii="方正小标宋_GBK" w:eastAsia="方正小标宋_GBK" w:cs="Times New Roman"/>
          <w:sz w:val="32"/>
        </w:rPr>
      </w:pPr>
      <w:r>
        <w:t>香河县支油支铁服务中心</w:t>
      </w:r>
      <w:r>
        <w:t xml:space="preserve">                                                             </w:t>
      </w:r>
      <w:r w:rsidR="00D83596">
        <w:t xml:space="preserve">                       </w:t>
      </w:r>
      <w:r w:rsidR="00D83596">
        <w:rPr>
          <w:rFonts w:hint="eastAsia"/>
        </w:rPr>
        <w:t xml:space="preserve">        </w:t>
      </w:r>
      <w:r w:rsidR="00D83596">
        <w:t xml:space="preserve"> </w:t>
      </w:r>
      <w:r w:rsidR="00D83596">
        <w:t>单位：万元</w:t>
      </w:r>
      <w:r>
        <w:t xml:space="preserve">                 </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F33E30">
        <w:trPr>
          <w:cantSplit/>
          <w:tblHeader/>
          <w:jc w:val="center"/>
        </w:trPr>
        <w:tc>
          <w:tcPr>
            <w:tcW w:w="2061" w:type="dxa"/>
            <w:gridSpan w:val="2"/>
            <w:vAlign w:val="center"/>
          </w:tcPr>
          <w:p w:rsidR="00F33E30" w:rsidRDefault="00791201">
            <w:pPr>
              <w:pStyle w:val="10"/>
              <w:spacing w:line="584" w:lineRule="exact"/>
            </w:pPr>
            <w:r>
              <w:t>政府采购项目来源</w:t>
            </w:r>
          </w:p>
        </w:tc>
        <w:tc>
          <w:tcPr>
            <w:tcW w:w="1134" w:type="dxa"/>
            <w:vMerge w:val="restart"/>
            <w:vAlign w:val="center"/>
          </w:tcPr>
          <w:p w:rsidR="00F33E30" w:rsidRDefault="00791201">
            <w:pPr>
              <w:pStyle w:val="10"/>
              <w:spacing w:line="584" w:lineRule="exact"/>
            </w:pPr>
            <w:r>
              <w:t>采购物品名称</w:t>
            </w:r>
          </w:p>
        </w:tc>
        <w:tc>
          <w:tcPr>
            <w:tcW w:w="1134" w:type="dxa"/>
            <w:vMerge w:val="restart"/>
            <w:vAlign w:val="center"/>
          </w:tcPr>
          <w:p w:rsidR="00F33E30" w:rsidRDefault="00791201">
            <w:pPr>
              <w:pStyle w:val="10"/>
              <w:spacing w:line="584" w:lineRule="exact"/>
            </w:pPr>
            <w:r>
              <w:t>政府采购目录序号</w:t>
            </w:r>
          </w:p>
        </w:tc>
        <w:tc>
          <w:tcPr>
            <w:tcW w:w="709" w:type="dxa"/>
            <w:vMerge w:val="restart"/>
            <w:vAlign w:val="center"/>
          </w:tcPr>
          <w:p w:rsidR="00F33E30" w:rsidRDefault="00791201">
            <w:pPr>
              <w:pStyle w:val="10"/>
              <w:spacing w:line="584" w:lineRule="exact"/>
            </w:pPr>
            <w:r>
              <w:t>计量  单位</w:t>
            </w:r>
          </w:p>
        </w:tc>
        <w:tc>
          <w:tcPr>
            <w:tcW w:w="850" w:type="dxa"/>
            <w:vMerge w:val="restart"/>
            <w:vAlign w:val="center"/>
          </w:tcPr>
          <w:p w:rsidR="00F33E30" w:rsidRDefault="00791201">
            <w:pPr>
              <w:pStyle w:val="10"/>
              <w:spacing w:line="584" w:lineRule="exact"/>
            </w:pPr>
            <w:r>
              <w:t>数量</w:t>
            </w:r>
          </w:p>
        </w:tc>
        <w:tc>
          <w:tcPr>
            <w:tcW w:w="850" w:type="dxa"/>
            <w:vMerge w:val="restart"/>
            <w:vAlign w:val="center"/>
          </w:tcPr>
          <w:p w:rsidR="00F33E30" w:rsidRDefault="00791201">
            <w:pPr>
              <w:pStyle w:val="10"/>
              <w:spacing w:line="584" w:lineRule="exact"/>
            </w:pPr>
            <w:r>
              <w:t>单价</w:t>
            </w:r>
          </w:p>
        </w:tc>
        <w:tc>
          <w:tcPr>
            <w:tcW w:w="7712" w:type="dxa"/>
            <w:gridSpan w:val="8"/>
            <w:vAlign w:val="center"/>
          </w:tcPr>
          <w:p w:rsidR="00F33E30" w:rsidRDefault="00791201">
            <w:pPr>
              <w:pStyle w:val="10"/>
              <w:spacing w:line="584" w:lineRule="exact"/>
            </w:pPr>
            <w:r>
              <w:t>政府采购金额（当年</w:t>
            </w:r>
            <w:r w:rsidR="006027B3">
              <w:t>单位</w:t>
            </w:r>
            <w:r>
              <w:t>预算安排资金）</w:t>
            </w:r>
          </w:p>
        </w:tc>
        <w:tc>
          <w:tcPr>
            <w:tcW w:w="964" w:type="dxa"/>
            <w:vMerge w:val="restart"/>
            <w:vAlign w:val="center"/>
          </w:tcPr>
          <w:p w:rsidR="00F33E30" w:rsidRDefault="00791201">
            <w:pPr>
              <w:pStyle w:val="10"/>
              <w:spacing w:line="584" w:lineRule="exact"/>
            </w:pPr>
            <w:r>
              <w:t>202</w:t>
            </w:r>
            <w:r>
              <w:rPr>
                <w:rFonts w:eastAsiaTheme="minorEastAsia" w:hint="eastAsia"/>
                <w:lang w:eastAsia="zh-CN"/>
              </w:rPr>
              <w:t>3</w:t>
            </w:r>
            <w:r>
              <w:t>年  预留中  小微企  业份额</w:t>
            </w:r>
          </w:p>
        </w:tc>
      </w:tr>
      <w:tr w:rsidR="00F33E30">
        <w:trPr>
          <w:cantSplit/>
          <w:tblHeader/>
          <w:jc w:val="center"/>
        </w:trPr>
        <w:tc>
          <w:tcPr>
            <w:tcW w:w="1097" w:type="dxa"/>
            <w:vAlign w:val="center"/>
          </w:tcPr>
          <w:p w:rsidR="00F33E30" w:rsidRDefault="00791201">
            <w:pPr>
              <w:pStyle w:val="10"/>
              <w:spacing w:line="584" w:lineRule="exact"/>
            </w:pPr>
            <w:r>
              <w:t>项目名称</w:t>
            </w:r>
          </w:p>
        </w:tc>
        <w:tc>
          <w:tcPr>
            <w:tcW w:w="964" w:type="dxa"/>
            <w:vAlign w:val="center"/>
          </w:tcPr>
          <w:p w:rsidR="00F33E30" w:rsidRDefault="00791201">
            <w:pPr>
              <w:pStyle w:val="10"/>
              <w:spacing w:line="584" w:lineRule="exact"/>
            </w:pPr>
            <w:r>
              <w:t>预算    资金</w:t>
            </w:r>
          </w:p>
        </w:tc>
        <w:tc>
          <w:tcPr>
            <w:tcW w:w="1134" w:type="dxa"/>
            <w:vMerge/>
          </w:tcPr>
          <w:p w:rsidR="00F33E30" w:rsidRDefault="00F33E30">
            <w:pPr>
              <w:spacing w:line="584" w:lineRule="exact"/>
            </w:pPr>
          </w:p>
        </w:tc>
        <w:tc>
          <w:tcPr>
            <w:tcW w:w="1134" w:type="dxa"/>
            <w:vMerge/>
          </w:tcPr>
          <w:p w:rsidR="00F33E30" w:rsidRDefault="00F33E30">
            <w:pPr>
              <w:spacing w:line="584" w:lineRule="exact"/>
            </w:pPr>
          </w:p>
        </w:tc>
        <w:tc>
          <w:tcPr>
            <w:tcW w:w="709" w:type="dxa"/>
            <w:vMerge/>
          </w:tcPr>
          <w:p w:rsidR="00F33E30" w:rsidRDefault="00F33E30">
            <w:pPr>
              <w:spacing w:line="584" w:lineRule="exact"/>
            </w:pPr>
          </w:p>
        </w:tc>
        <w:tc>
          <w:tcPr>
            <w:tcW w:w="850" w:type="dxa"/>
            <w:vMerge/>
          </w:tcPr>
          <w:p w:rsidR="00F33E30" w:rsidRDefault="00F33E30">
            <w:pPr>
              <w:spacing w:line="584" w:lineRule="exact"/>
            </w:pPr>
          </w:p>
        </w:tc>
        <w:tc>
          <w:tcPr>
            <w:tcW w:w="850" w:type="dxa"/>
            <w:vMerge/>
          </w:tcPr>
          <w:p w:rsidR="00F33E30" w:rsidRDefault="00F33E30">
            <w:pPr>
              <w:spacing w:line="584" w:lineRule="exact"/>
            </w:pPr>
          </w:p>
        </w:tc>
        <w:tc>
          <w:tcPr>
            <w:tcW w:w="964" w:type="dxa"/>
            <w:vAlign w:val="center"/>
          </w:tcPr>
          <w:p w:rsidR="00F33E30" w:rsidRDefault="00791201">
            <w:pPr>
              <w:pStyle w:val="10"/>
              <w:spacing w:line="584" w:lineRule="exact"/>
            </w:pPr>
            <w:r>
              <w:t>合计</w:t>
            </w:r>
          </w:p>
        </w:tc>
        <w:tc>
          <w:tcPr>
            <w:tcW w:w="964" w:type="dxa"/>
            <w:vAlign w:val="center"/>
          </w:tcPr>
          <w:p w:rsidR="00F33E30" w:rsidRDefault="00791201">
            <w:pPr>
              <w:pStyle w:val="10"/>
              <w:spacing w:line="584" w:lineRule="exact"/>
            </w:pPr>
            <w:r>
              <w:t>一般公共预算拨款</w:t>
            </w:r>
          </w:p>
        </w:tc>
        <w:tc>
          <w:tcPr>
            <w:tcW w:w="964" w:type="dxa"/>
            <w:vAlign w:val="center"/>
          </w:tcPr>
          <w:p w:rsidR="00F33E30" w:rsidRDefault="00791201">
            <w:pPr>
              <w:pStyle w:val="10"/>
              <w:spacing w:line="584" w:lineRule="exact"/>
            </w:pPr>
            <w:r>
              <w:t>基金预算拨款</w:t>
            </w:r>
          </w:p>
        </w:tc>
        <w:tc>
          <w:tcPr>
            <w:tcW w:w="964" w:type="dxa"/>
            <w:vAlign w:val="center"/>
          </w:tcPr>
          <w:p w:rsidR="00F33E30" w:rsidRDefault="00791201">
            <w:pPr>
              <w:pStyle w:val="10"/>
              <w:spacing w:line="584" w:lineRule="exact"/>
            </w:pPr>
            <w:r>
              <w:t>国有资本经营预算拨款</w:t>
            </w:r>
          </w:p>
        </w:tc>
        <w:tc>
          <w:tcPr>
            <w:tcW w:w="964" w:type="dxa"/>
            <w:vAlign w:val="center"/>
          </w:tcPr>
          <w:p w:rsidR="00F33E30" w:rsidRDefault="00791201">
            <w:pPr>
              <w:pStyle w:val="10"/>
              <w:spacing w:line="584" w:lineRule="exact"/>
            </w:pPr>
            <w:r>
              <w:t>财政专户核拨</w:t>
            </w:r>
          </w:p>
        </w:tc>
        <w:tc>
          <w:tcPr>
            <w:tcW w:w="964" w:type="dxa"/>
            <w:vAlign w:val="center"/>
          </w:tcPr>
          <w:p w:rsidR="00F33E30" w:rsidRDefault="00791201">
            <w:pPr>
              <w:pStyle w:val="10"/>
              <w:spacing w:line="584" w:lineRule="exact"/>
            </w:pPr>
            <w:r>
              <w:t>单位    资金</w:t>
            </w:r>
          </w:p>
        </w:tc>
        <w:tc>
          <w:tcPr>
            <w:tcW w:w="964" w:type="dxa"/>
            <w:vAlign w:val="center"/>
          </w:tcPr>
          <w:p w:rsidR="00F33E30" w:rsidRDefault="00791201">
            <w:pPr>
              <w:pStyle w:val="10"/>
              <w:spacing w:line="584" w:lineRule="exact"/>
            </w:pPr>
            <w:r>
              <w:t>财政拨    款结转</w:t>
            </w:r>
          </w:p>
        </w:tc>
        <w:tc>
          <w:tcPr>
            <w:tcW w:w="964" w:type="dxa"/>
            <w:vAlign w:val="center"/>
          </w:tcPr>
          <w:p w:rsidR="00F33E30" w:rsidRDefault="00791201">
            <w:pPr>
              <w:pStyle w:val="10"/>
              <w:spacing w:line="584" w:lineRule="exact"/>
            </w:pPr>
            <w:r>
              <w:t>非财政    拨款结    转结余</w:t>
            </w:r>
          </w:p>
        </w:tc>
        <w:tc>
          <w:tcPr>
            <w:tcW w:w="964" w:type="dxa"/>
            <w:vMerge/>
          </w:tcPr>
          <w:p w:rsidR="00F33E30" w:rsidRDefault="00F33E30">
            <w:pPr>
              <w:spacing w:line="584" w:lineRule="exact"/>
            </w:pPr>
          </w:p>
        </w:tc>
      </w:tr>
      <w:tr w:rsidR="00F33E30">
        <w:trPr>
          <w:cantSplit/>
          <w:jc w:val="center"/>
        </w:trPr>
        <w:tc>
          <w:tcPr>
            <w:tcW w:w="1097" w:type="dxa"/>
            <w:vAlign w:val="center"/>
          </w:tcPr>
          <w:p w:rsidR="00F33E30" w:rsidRDefault="00791201">
            <w:pPr>
              <w:pStyle w:val="6"/>
              <w:spacing w:line="584" w:lineRule="exact"/>
            </w:pPr>
            <w:r>
              <w:t>合  计</w:t>
            </w:r>
          </w:p>
        </w:tc>
        <w:tc>
          <w:tcPr>
            <w:tcW w:w="964" w:type="dxa"/>
            <w:vAlign w:val="center"/>
          </w:tcPr>
          <w:p w:rsidR="00F33E30" w:rsidRDefault="00F33E30">
            <w:pPr>
              <w:pStyle w:val="7"/>
              <w:spacing w:line="584" w:lineRule="exact"/>
            </w:pPr>
          </w:p>
        </w:tc>
        <w:tc>
          <w:tcPr>
            <w:tcW w:w="1134" w:type="dxa"/>
            <w:vAlign w:val="center"/>
          </w:tcPr>
          <w:p w:rsidR="00F33E30" w:rsidRDefault="00F33E30">
            <w:pPr>
              <w:pStyle w:val="5"/>
              <w:spacing w:line="584" w:lineRule="exact"/>
            </w:pPr>
          </w:p>
        </w:tc>
        <w:tc>
          <w:tcPr>
            <w:tcW w:w="1134" w:type="dxa"/>
            <w:vAlign w:val="center"/>
          </w:tcPr>
          <w:p w:rsidR="00F33E30" w:rsidRDefault="00F33E30">
            <w:pPr>
              <w:pStyle w:val="5"/>
              <w:spacing w:line="584" w:lineRule="exact"/>
            </w:pPr>
          </w:p>
        </w:tc>
        <w:tc>
          <w:tcPr>
            <w:tcW w:w="709" w:type="dxa"/>
            <w:vAlign w:val="center"/>
          </w:tcPr>
          <w:p w:rsidR="00F33E30" w:rsidRDefault="00F33E30">
            <w:pPr>
              <w:pStyle w:val="6"/>
              <w:spacing w:line="584" w:lineRule="exact"/>
            </w:pPr>
          </w:p>
        </w:tc>
        <w:tc>
          <w:tcPr>
            <w:tcW w:w="850" w:type="dxa"/>
            <w:vAlign w:val="center"/>
          </w:tcPr>
          <w:p w:rsidR="00F33E30" w:rsidRDefault="00F33E30">
            <w:pPr>
              <w:pStyle w:val="7"/>
              <w:spacing w:line="584" w:lineRule="exact"/>
            </w:pPr>
          </w:p>
        </w:tc>
        <w:tc>
          <w:tcPr>
            <w:tcW w:w="850"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r>
      <w:tr w:rsidR="00F33E30">
        <w:trPr>
          <w:cantSplit/>
          <w:jc w:val="center"/>
        </w:trPr>
        <w:tc>
          <w:tcPr>
            <w:tcW w:w="1097" w:type="dxa"/>
            <w:vAlign w:val="center"/>
          </w:tcPr>
          <w:p w:rsidR="00F33E30" w:rsidRDefault="00F33E30">
            <w:pPr>
              <w:pStyle w:val="6"/>
              <w:spacing w:line="584" w:lineRule="exact"/>
            </w:pPr>
          </w:p>
        </w:tc>
        <w:tc>
          <w:tcPr>
            <w:tcW w:w="964" w:type="dxa"/>
            <w:vAlign w:val="center"/>
          </w:tcPr>
          <w:p w:rsidR="00F33E30" w:rsidRDefault="00F33E30">
            <w:pPr>
              <w:pStyle w:val="7"/>
              <w:spacing w:line="584" w:lineRule="exact"/>
            </w:pPr>
          </w:p>
        </w:tc>
        <w:tc>
          <w:tcPr>
            <w:tcW w:w="1134" w:type="dxa"/>
            <w:vAlign w:val="center"/>
          </w:tcPr>
          <w:p w:rsidR="00F33E30" w:rsidRDefault="00F33E30">
            <w:pPr>
              <w:pStyle w:val="5"/>
              <w:spacing w:line="584" w:lineRule="exact"/>
            </w:pPr>
          </w:p>
        </w:tc>
        <w:tc>
          <w:tcPr>
            <w:tcW w:w="1134" w:type="dxa"/>
            <w:vAlign w:val="center"/>
          </w:tcPr>
          <w:p w:rsidR="00F33E30" w:rsidRDefault="00F33E30">
            <w:pPr>
              <w:pStyle w:val="5"/>
              <w:spacing w:line="584" w:lineRule="exact"/>
            </w:pPr>
          </w:p>
        </w:tc>
        <w:tc>
          <w:tcPr>
            <w:tcW w:w="709" w:type="dxa"/>
            <w:vAlign w:val="center"/>
          </w:tcPr>
          <w:p w:rsidR="00F33E30" w:rsidRDefault="00F33E30">
            <w:pPr>
              <w:pStyle w:val="6"/>
              <w:spacing w:line="584" w:lineRule="exact"/>
            </w:pPr>
          </w:p>
        </w:tc>
        <w:tc>
          <w:tcPr>
            <w:tcW w:w="850" w:type="dxa"/>
            <w:vAlign w:val="center"/>
          </w:tcPr>
          <w:p w:rsidR="00F33E30" w:rsidRDefault="00F33E30">
            <w:pPr>
              <w:pStyle w:val="7"/>
              <w:spacing w:line="584" w:lineRule="exact"/>
            </w:pPr>
          </w:p>
        </w:tc>
        <w:tc>
          <w:tcPr>
            <w:tcW w:w="850"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c>
          <w:tcPr>
            <w:tcW w:w="964" w:type="dxa"/>
            <w:vAlign w:val="center"/>
          </w:tcPr>
          <w:p w:rsidR="00F33E30" w:rsidRDefault="00F33E30">
            <w:pPr>
              <w:pStyle w:val="7"/>
              <w:spacing w:line="584" w:lineRule="exact"/>
            </w:pPr>
          </w:p>
        </w:tc>
      </w:tr>
      <w:tr w:rsidR="00F33E30">
        <w:trPr>
          <w:cantSplit/>
          <w:jc w:val="center"/>
        </w:trPr>
        <w:tc>
          <w:tcPr>
            <w:tcW w:w="1097" w:type="dxa"/>
            <w:vAlign w:val="center"/>
          </w:tcPr>
          <w:p w:rsidR="00F33E30" w:rsidRDefault="00F33E30">
            <w:pPr>
              <w:pStyle w:val="20"/>
              <w:spacing w:line="584" w:lineRule="exact"/>
            </w:pPr>
          </w:p>
        </w:tc>
        <w:tc>
          <w:tcPr>
            <w:tcW w:w="964" w:type="dxa"/>
            <w:vAlign w:val="center"/>
          </w:tcPr>
          <w:p w:rsidR="00F33E30" w:rsidRDefault="00F33E30">
            <w:pPr>
              <w:pStyle w:val="4"/>
              <w:spacing w:line="584" w:lineRule="exact"/>
            </w:pPr>
          </w:p>
        </w:tc>
        <w:tc>
          <w:tcPr>
            <w:tcW w:w="1134" w:type="dxa"/>
            <w:vAlign w:val="center"/>
          </w:tcPr>
          <w:p w:rsidR="00F33E30" w:rsidRDefault="00F33E30">
            <w:pPr>
              <w:pStyle w:val="20"/>
              <w:spacing w:line="584" w:lineRule="exact"/>
            </w:pPr>
          </w:p>
        </w:tc>
        <w:tc>
          <w:tcPr>
            <w:tcW w:w="1134" w:type="dxa"/>
            <w:vAlign w:val="center"/>
          </w:tcPr>
          <w:p w:rsidR="00F33E30" w:rsidRDefault="00F33E30">
            <w:pPr>
              <w:pStyle w:val="20"/>
              <w:spacing w:line="584" w:lineRule="exact"/>
            </w:pPr>
          </w:p>
        </w:tc>
        <w:tc>
          <w:tcPr>
            <w:tcW w:w="709" w:type="dxa"/>
            <w:vAlign w:val="center"/>
          </w:tcPr>
          <w:p w:rsidR="00F33E30" w:rsidRDefault="00F33E30">
            <w:pPr>
              <w:pStyle w:val="3"/>
              <w:spacing w:line="584" w:lineRule="exact"/>
            </w:pPr>
          </w:p>
        </w:tc>
        <w:tc>
          <w:tcPr>
            <w:tcW w:w="850" w:type="dxa"/>
            <w:vAlign w:val="center"/>
          </w:tcPr>
          <w:p w:rsidR="00F33E30" w:rsidRDefault="00F33E30">
            <w:pPr>
              <w:pStyle w:val="4"/>
              <w:spacing w:line="584" w:lineRule="exact"/>
            </w:pPr>
          </w:p>
        </w:tc>
        <w:tc>
          <w:tcPr>
            <w:tcW w:w="850"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c>
          <w:tcPr>
            <w:tcW w:w="964" w:type="dxa"/>
            <w:vAlign w:val="center"/>
          </w:tcPr>
          <w:p w:rsidR="00F33E30" w:rsidRDefault="00F33E30">
            <w:pPr>
              <w:pStyle w:val="4"/>
              <w:spacing w:line="584" w:lineRule="exact"/>
            </w:pPr>
          </w:p>
        </w:tc>
      </w:tr>
    </w:tbl>
    <w:p w:rsidR="00F33E30" w:rsidRDefault="00791201">
      <w:pPr>
        <w:spacing w:line="584" w:lineRule="exact"/>
        <w:ind w:firstLine="420"/>
        <w:rPr>
          <w:rFonts w:ascii="方正仿宋_GBK" w:eastAsia="方正仿宋_GBK" w:hAnsi="方正仿宋_GBK" w:cs="方正仿宋_GBK"/>
          <w:color w:val="000000"/>
        </w:rPr>
      </w:pPr>
      <w:r>
        <w:rPr>
          <w:rFonts w:ascii="方正仿宋_GBK" w:eastAsia="方正仿宋_GBK" w:hAnsi="方正仿宋_GBK" w:cs="方正仿宋_GBK"/>
          <w:color w:val="000000"/>
        </w:rPr>
        <w:t>注：同一采购目录序号的物品，其单价会因配置规格不同而变动，均符合资产配置标准。涉密采购事项按照相关规定执行。</w:t>
      </w:r>
    </w:p>
    <w:p w:rsidR="00F33E30" w:rsidRDefault="00F33E30">
      <w:pPr>
        <w:spacing w:line="584" w:lineRule="exact"/>
        <w:ind w:firstLine="420"/>
        <w:rPr>
          <w:rFonts w:ascii="Times New Roman" w:eastAsia="黑体" w:hAnsi="黑体" w:cs="Times New Roman"/>
          <w:sz w:val="32"/>
          <w:szCs w:val="32"/>
        </w:rPr>
        <w:sectPr w:rsidR="00F33E30">
          <w:pgSz w:w="16838" w:h="11906" w:orient="landscape"/>
          <w:pgMar w:top="1800" w:right="1440" w:bottom="1800" w:left="1440" w:header="851" w:footer="992" w:gutter="0"/>
          <w:cols w:space="425"/>
          <w:titlePg/>
          <w:docGrid w:type="lines" w:linePitch="312"/>
        </w:sectPr>
      </w:pPr>
    </w:p>
    <w:p w:rsidR="00F33E30" w:rsidRDefault="00791201">
      <w:pPr>
        <w:spacing w:line="584" w:lineRule="exact"/>
        <w:ind w:firstLine="420"/>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F33E30" w:rsidRDefault="0079120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香河县支油支铁服务中心上年末固定资产金额为</w:t>
      </w:r>
      <w:r>
        <w:rPr>
          <w:rFonts w:ascii="Times New Roman" w:eastAsia="仿宋_GB2312" w:hAnsi="Times New Roman" w:cs="Times New Roman" w:hint="eastAsia"/>
          <w:sz w:val="32"/>
          <w:szCs w:val="32"/>
        </w:rPr>
        <w:t>33.12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sidR="00D26A88">
        <w:rPr>
          <w:rFonts w:ascii="Times New Roman" w:eastAsia="仿宋_GB2312" w:hAnsi="Times New Roman" w:cs="Times New Roman"/>
          <w:sz w:val="32"/>
          <w:szCs w:val="32"/>
        </w:rPr>
        <w:t>单</w:t>
      </w:r>
      <w:proofErr w:type="gramStart"/>
      <w:r w:rsidR="00D26A88">
        <w:rPr>
          <w:rFonts w:ascii="Times New Roman" w:eastAsia="仿宋_GB2312" w:hAnsi="Times New Roman" w:cs="Times New Roman"/>
          <w:sz w:val="32"/>
          <w:szCs w:val="32"/>
        </w:rPr>
        <w:t>位</w:t>
      </w:r>
      <w:r>
        <w:rPr>
          <w:rFonts w:ascii="Times New Roman" w:eastAsia="仿宋_GB2312" w:hAnsi="Times New Roman" w:cs="Times New Roman"/>
          <w:sz w:val="32"/>
          <w:szCs w:val="32"/>
        </w:rPr>
        <w:t>拟</w:t>
      </w:r>
      <w:proofErr w:type="gramEnd"/>
      <w:r>
        <w:rPr>
          <w:rFonts w:ascii="Times New Roman" w:eastAsia="仿宋_GB2312" w:hAnsi="Times New Roman" w:cs="Times New Roman"/>
          <w:sz w:val="32"/>
          <w:szCs w:val="32"/>
        </w:rPr>
        <w:t>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tbl>
      <w:tblPr>
        <w:tblpPr w:leftFromText="180" w:rightFromText="180" w:vertAnchor="text" w:horzAnchor="page" w:tblpX="1186" w:tblpY="396"/>
        <w:tblOverlap w:val="never"/>
        <w:tblW w:w="9665" w:type="dxa"/>
        <w:tblLayout w:type="fixed"/>
        <w:tblLook w:val="04A0"/>
      </w:tblPr>
      <w:tblGrid>
        <w:gridCol w:w="4581"/>
        <w:gridCol w:w="1874"/>
        <w:gridCol w:w="3210"/>
      </w:tblGrid>
      <w:tr w:rsidR="00F33E30" w:rsidTr="00633FBD">
        <w:trPr>
          <w:trHeight w:val="707"/>
        </w:trPr>
        <w:tc>
          <w:tcPr>
            <w:tcW w:w="9665" w:type="dxa"/>
            <w:gridSpan w:val="3"/>
            <w:tcBorders>
              <w:top w:val="nil"/>
              <w:left w:val="nil"/>
              <w:bottom w:val="nil"/>
              <w:right w:val="nil"/>
            </w:tcBorders>
            <w:shd w:val="clear" w:color="auto" w:fill="auto"/>
            <w:noWrap/>
            <w:vAlign w:val="center"/>
          </w:tcPr>
          <w:p w:rsidR="00F33E30" w:rsidRDefault="006B0FAA">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单位</w:t>
            </w:r>
            <w:r w:rsidR="00791201">
              <w:rPr>
                <w:rFonts w:ascii="Times New Roman" w:eastAsia="仿宋_GB2312" w:hAnsi="Times New Roman" w:cs="Times New Roman"/>
                <w:b/>
                <w:bCs/>
                <w:kern w:val="0"/>
                <w:sz w:val="32"/>
                <w:szCs w:val="32"/>
              </w:rPr>
              <w:t>固定资产占用情况表</w:t>
            </w:r>
          </w:p>
        </w:tc>
      </w:tr>
      <w:tr w:rsidR="00F33E30" w:rsidTr="00633FBD">
        <w:trPr>
          <w:trHeight w:val="586"/>
        </w:trPr>
        <w:tc>
          <w:tcPr>
            <w:tcW w:w="6455" w:type="dxa"/>
            <w:gridSpan w:val="2"/>
            <w:tcBorders>
              <w:top w:val="nil"/>
              <w:left w:val="nil"/>
              <w:bottom w:val="nil"/>
              <w:right w:val="nil"/>
            </w:tcBorders>
            <w:shd w:val="clear" w:color="auto" w:fill="auto"/>
            <w:noWrap/>
            <w:vAlign w:val="center"/>
          </w:tcPr>
          <w:p w:rsidR="00F33E30" w:rsidRDefault="00791201">
            <w:pPr>
              <w:widowControl/>
              <w:spacing w:line="584" w:lineRule="exact"/>
              <w:jc w:val="left"/>
              <w:rPr>
                <w:rFonts w:ascii="Times New Roman" w:eastAsia="仿宋_GB2312" w:hAnsi="Times New Roman" w:cs="Times New Roman"/>
                <w:color w:val="FF0000"/>
                <w:kern w:val="0"/>
                <w:sz w:val="22"/>
              </w:rPr>
            </w:pPr>
            <w:r>
              <w:rPr>
                <w:rFonts w:ascii="Times New Roman" w:eastAsia="仿宋_GB2312" w:hAnsi="Times New Roman" w:cs="Times New Roman"/>
                <w:kern w:val="0"/>
                <w:sz w:val="22"/>
              </w:rPr>
              <w:t>编制</w:t>
            </w:r>
            <w:r w:rsidR="008A64A7">
              <w:rPr>
                <w:rFonts w:ascii="Times New Roman" w:eastAsia="仿宋_GB2312" w:hAnsi="Times New Roman" w:cs="Times New Roman"/>
                <w:kern w:val="0"/>
                <w:sz w:val="22"/>
              </w:rPr>
              <w:t>单位</w:t>
            </w:r>
            <w:r>
              <w:rPr>
                <w:rFonts w:ascii="Times New Roman" w:eastAsia="仿宋_GB2312" w:hAnsi="Times New Roman" w:cs="Times New Roman"/>
                <w:kern w:val="0"/>
                <w:sz w:val="22"/>
              </w:rPr>
              <w:t>：香河县支油支铁服务中心</w:t>
            </w:r>
          </w:p>
        </w:tc>
        <w:tc>
          <w:tcPr>
            <w:tcW w:w="3210" w:type="dxa"/>
            <w:tcBorders>
              <w:top w:val="nil"/>
              <w:left w:val="nil"/>
              <w:bottom w:val="nil"/>
              <w:right w:val="nil"/>
            </w:tcBorders>
            <w:shd w:val="clear" w:color="auto" w:fill="auto"/>
            <w:noWrap/>
            <w:vAlign w:val="center"/>
          </w:tcPr>
          <w:p w:rsidR="00F33E30" w:rsidRDefault="0079120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22</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F33E30" w:rsidTr="00633FBD">
        <w:trPr>
          <w:trHeight w:hRule="exact" w:val="569"/>
        </w:trPr>
        <w:tc>
          <w:tcPr>
            <w:tcW w:w="4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E30" w:rsidRDefault="0079120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1874" w:type="dxa"/>
            <w:tcBorders>
              <w:top w:val="single" w:sz="4" w:space="0" w:color="auto"/>
              <w:left w:val="nil"/>
              <w:bottom w:val="single" w:sz="4" w:space="0" w:color="auto"/>
              <w:right w:val="single" w:sz="4" w:space="0" w:color="auto"/>
            </w:tcBorders>
            <w:shd w:val="clear" w:color="auto" w:fill="auto"/>
            <w:noWrap/>
            <w:vAlign w:val="center"/>
          </w:tcPr>
          <w:p w:rsidR="00F33E30" w:rsidRDefault="0079120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3210" w:type="dxa"/>
            <w:tcBorders>
              <w:top w:val="single" w:sz="4" w:space="0" w:color="auto"/>
              <w:left w:val="nil"/>
              <w:bottom w:val="single" w:sz="4" w:space="0" w:color="auto"/>
              <w:right w:val="single" w:sz="4" w:space="0" w:color="auto"/>
            </w:tcBorders>
            <w:shd w:val="clear" w:color="auto" w:fill="auto"/>
            <w:noWrap/>
            <w:vAlign w:val="center"/>
          </w:tcPr>
          <w:p w:rsidR="00F33E30" w:rsidRDefault="0079120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F33E30" w:rsidTr="00633FBD">
        <w:trPr>
          <w:trHeight w:hRule="exact" w:val="569"/>
        </w:trPr>
        <w:tc>
          <w:tcPr>
            <w:tcW w:w="4581" w:type="dxa"/>
            <w:tcBorders>
              <w:top w:val="nil"/>
              <w:left w:val="single" w:sz="4" w:space="0" w:color="auto"/>
              <w:bottom w:val="single" w:sz="4" w:space="0" w:color="auto"/>
              <w:right w:val="single" w:sz="4" w:space="0" w:color="auto"/>
            </w:tcBorders>
            <w:shd w:val="clear" w:color="auto" w:fill="auto"/>
            <w:noWrap/>
            <w:vAlign w:val="center"/>
          </w:tcPr>
          <w:p w:rsidR="00F33E30" w:rsidRDefault="0079120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1874" w:type="dxa"/>
            <w:tcBorders>
              <w:top w:val="nil"/>
              <w:left w:val="nil"/>
              <w:bottom w:val="single" w:sz="4" w:space="0" w:color="auto"/>
              <w:right w:val="single" w:sz="4" w:space="0" w:color="auto"/>
            </w:tcBorders>
            <w:shd w:val="clear" w:color="auto" w:fill="auto"/>
            <w:noWrap/>
            <w:vAlign w:val="center"/>
          </w:tcPr>
          <w:p w:rsidR="00F33E30" w:rsidRDefault="00791201">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3210" w:type="dxa"/>
            <w:tcBorders>
              <w:top w:val="nil"/>
              <w:left w:val="nil"/>
              <w:bottom w:val="single" w:sz="4" w:space="0" w:color="auto"/>
              <w:right w:val="single" w:sz="4" w:space="0" w:color="auto"/>
            </w:tcBorders>
            <w:shd w:val="clear" w:color="auto" w:fill="auto"/>
            <w:noWrap/>
            <w:vAlign w:val="center"/>
          </w:tcPr>
          <w:p w:rsidR="00F33E30" w:rsidRDefault="0079120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33.12</w:t>
            </w:r>
          </w:p>
          <w:p w:rsidR="00F33E30" w:rsidRDefault="00F33E30">
            <w:pPr>
              <w:spacing w:line="584" w:lineRule="exact"/>
              <w:jc w:val="center"/>
              <w:rPr>
                <w:rFonts w:ascii="Times New Roman" w:eastAsia="仿宋_GB2312" w:hAnsi="Times New Roman" w:cs="Times New Roman"/>
                <w:sz w:val="22"/>
              </w:rPr>
            </w:pPr>
          </w:p>
        </w:tc>
      </w:tr>
      <w:tr w:rsidR="00F33E30" w:rsidTr="00633FBD">
        <w:trPr>
          <w:trHeight w:hRule="exact" w:val="569"/>
        </w:trPr>
        <w:tc>
          <w:tcPr>
            <w:tcW w:w="4581" w:type="dxa"/>
            <w:tcBorders>
              <w:top w:val="nil"/>
              <w:left w:val="single" w:sz="4" w:space="0" w:color="auto"/>
              <w:bottom w:val="single" w:sz="4" w:space="0" w:color="auto"/>
              <w:right w:val="single" w:sz="4" w:space="0" w:color="auto"/>
            </w:tcBorders>
            <w:shd w:val="clear" w:color="auto" w:fill="auto"/>
            <w:noWrap/>
            <w:vAlign w:val="center"/>
          </w:tcPr>
          <w:p w:rsidR="00F33E30" w:rsidRDefault="0079120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1874" w:type="dxa"/>
            <w:tcBorders>
              <w:top w:val="nil"/>
              <w:left w:val="nil"/>
              <w:bottom w:val="single" w:sz="4" w:space="0" w:color="auto"/>
              <w:right w:val="single" w:sz="4" w:space="0" w:color="auto"/>
            </w:tcBorders>
            <w:shd w:val="clear" w:color="auto" w:fill="auto"/>
            <w:noWrap/>
            <w:vAlign w:val="center"/>
          </w:tcPr>
          <w:p w:rsidR="00F33E30" w:rsidRDefault="00F33E30">
            <w:pPr>
              <w:spacing w:line="584" w:lineRule="exact"/>
              <w:jc w:val="center"/>
              <w:rPr>
                <w:rFonts w:ascii="Times New Roman" w:eastAsia="仿宋_GB2312" w:hAnsi="Times New Roman" w:cs="Times New Roman"/>
                <w:sz w:val="22"/>
              </w:rPr>
            </w:pPr>
          </w:p>
        </w:tc>
        <w:tc>
          <w:tcPr>
            <w:tcW w:w="3210" w:type="dxa"/>
            <w:tcBorders>
              <w:top w:val="nil"/>
              <w:left w:val="nil"/>
              <w:bottom w:val="single" w:sz="4" w:space="0" w:color="auto"/>
              <w:right w:val="single" w:sz="4" w:space="0" w:color="auto"/>
            </w:tcBorders>
            <w:shd w:val="clear" w:color="auto" w:fill="auto"/>
            <w:noWrap/>
            <w:vAlign w:val="center"/>
          </w:tcPr>
          <w:p w:rsidR="00F33E30" w:rsidRDefault="00F33E30">
            <w:pPr>
              <w:spacing w:line="584" w:lineRule="exact"/>
              <w:jc w:val="center"/>
              <w:rPr>
                <w:rFonts w:ascii="Times New Roman" w:eastAsia="仿宋_GB2312" w:hAnsi="Times New Roman" w:cs="Times New Roman"/>
                <w:sz w:val="22"/>
              </w:rPr>
            </w:pPr>
          </w:p>
        </w:tc>
      </w:tr>
      <w:tr w:rsidR="00F33E30" w:rsidTr="00633FBD">
        <w:trPr>
          <w:trHeight w:hRule="exact" w:val="569"/>
        </w:trPr>
        <w:tc>
          <w:tcPr>
            <w:tcW w:w="4581" w:type="dxa"/>
            <w:tcBorders>
              <w:top w:val="nil"/>
              <w:left w:val="single" w:sz="4" w:space="0" w:color="auto"/>
              <w:bottom w:val="single" w:sz="4" w:space="0" w:color="auto"/>
              <w:right w:val="single" w:sz="4" w:space="0" w:color="auto"/>
            </w:tcBorders>
            <w:shd w:val="clear" w:color="auto" w:fill="auto"/>
            <w:noWrap/>
            <w:vAlign w:val="center"/>
          </w:tcPr>
          <w:p w:rsidR="00F33E30" w:rsidRDefault="0079120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1874" w:type="dxa"/>
            <w:tcBorders>
              <w:top w:val="nil"/>
              <w:left w:val="nil"/>
              <w:bottom w:val="single" w:sz="4" w:space="0" w:color="auto"/>
              <w:right w:val="single" w:sz="4" w:space="0" w:color="auto"/>
            </w:tcBorders>
            <w:shd w:val="clear" w:color="auto" w:fill="auto"/>
            <w:noWrap/>
            <w:vAlign w:val="center"/>
          </w:tcPr>
          <w:p w:rsidR="00F33E30" w:rsidRDefault="00F33E30">
            <w:pPr>
              <w:spacing w:line="584" w:lineRule="exact"/>
              <w:jc w:val="center"/>
              <w:rPr>
                <w:rFonts w:ascii="Times New Roman" w:eastAsia="仿宋_GB2312" w:hAnsi="Times New Roman" w:cs="Times New Roman"/>
                <w:sz w:val="22"/>
              </w:rPr>
            </w:pPr>
          </w:p>
        </w:tc>
        <w:tc>
          <w:tcPr>
            <w:tcW w:w="3210" w:type="dxa"/>
            <w:tcBorders>
              <w:top w:val="nil"/>
              <w:left w:val="nil"/>
              <w:bottom w:val="single" w:sz="4" w:space="0" w:color="auto"/>
              <w:right w:val="single" w:sz="4" w:space="0" w:color="auto"/>
            </w:tcBorders>
            <w:shd w:val="clear" w:color="auto" w:fill="auto"/>
            <w:noWrap/>
            <w:vAlign w:val="center"/>
          </w:tcPr>
          <w:p w:rsidR="00F33E30" w:rsidRDefault="00F33E30">
            <w:pPr>
              <w:spacing w:line="584" w:lineRule="exact"/>
              <w:jc w:val="center"/>
              <w:rPr>
                <w:rFonts w:ascii="Times New Roman" w:eastAsia="仿宋_GB2312" w:hAnsi="Times New Roman" w:cs="Times New Roman"/>
                <w:sz w:val="22"/>
              </w:rPr>
            </w:pPr>
          </w:p>
        </w:tc>
      </w:tr>
      <w:tr w:rsidR="00F33E30" w:rsidTr="00633FBD">
        <w:trPr>
          <w:trHeight w:hRule="exact" w:val="569"/>
        </w:trPr>
        <w:tc>
          <w:tcPr>
            <w:tcW w:w="4581" w:type="dxa"/>
            <w:tcBorders>
              <w:top w:val="nil"/>
              <w:left w:val="single" w:sz="4" w:space="0" w:color="auto"/>
              <w:bottom w:val="single" w:sz="4" w:space="0" w:color="auto"/>
              <w:right w:val="single" w:sz="4" w:space="0" w:color="auto"/>
            </w:tcBorders>
            <w:shd w:val="clear" w:color="auto" w:fill="auto"/>
            <w:noWrap/>
            <w:vAlign w:val="center"/>
          </w:tcPr>
          <w:p w:rsidR="00F33E30" w:rsidRDefault="0079120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1874" w:type="dxa"/>
            <w:tcBorders>
              <w:top w:val="nil"/>
              <w:left w:val="nil"/>
              <w:bottom w:val="single" w:sz="4" w:space="0" w:color="auto"/>
              <w:right w:val="single" w:sz="4" w:space="0" w:color="auto"/>
            </w:tcBorders>
            <w:shd w:val="clear" w:color="auto" w:fill="auto"/>
            <w:noWrap/>
            <w:vAlign w:val="center"/>
          </w:tcPr>
          <w:p w:rsidR="00F33E30" w:rsidRDefault="00F33E30">
            <w:pPr>
              <w:spacing w:line="584" w:lineRule="exact"/>
              <w:jc w:val="center"/>
              <w:rPr>
                <w:rFonts w:ascii="Times New Roman" w:eastAsia="仿宋_GB2312" w:hAnsi="Times New Roman" w:cs="Times New Roman"/>
                <w:sz w:val="22"/>
              </w:rPr>
            </w:pPr>
          </w:p>
        </w:tc>
        <w:tc>
          <w:tcPr>
            <w:tcW w:w="3210" w:type="dxa"/>
            <w:tcBorders>
              <w:top w:val="nil"/>
              <w:left w:val="nil"/>
              <w:bottom w:val="single" w:sz="4" w:space="0" w:color="auto"/>
              <w:right w:val="single" w:sz="4" w:space="0" w:color="auto"/>
            </w:tcBorders>
            <w:shd w:val="clear" w:color="auto" w:fill="auto"/>
            <w:noWrap/>
            <w:vAlign w:val="center"/>
          </w:tcPr>
          <w:p w:rsidR="00F33E30" w:rsidRDefault="00F33E30">
            <w:pPr>
              <w:spacing w:line="584" w:lineRule="exact"/>
              <w:jc w:val="center"/>
              <w:rPr>
                <w:rFonts w:ascii="Times New Roman" w:eastAsia="仿宋_GB2312" w:hAnsi="Times New Roman" w:cs="Times New Roman"/>
                <w:sz w:val="22"/>
              </w:rPr>
            </w:pPr>
          </w:p>
        </w:tc>
      </w:tr>
      <w:tr w:rsidR="00F33E30" w:rsidTr="00633FBD">
        <w:trPr>
          <w:trHeight w:hRule="exact" w:val="662"/>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F33E30" w:rsidRDefault="00E84E9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sidR="00791201">
              <w:rPr>
                <w:rFonts w:ascii="Times New Roman" w:eastAsia="仿宋_GB2312" w:hAnsi="Times New Roman" w:cs="Times New Roman"/>
                <w:kern w:val="0"/>
                <w:sz w:val="22"/>
              </w:rPr>
              <w:t>3</w:t>
            </w:r>
            <w:r w:rsidR="00791201">
              <w:rPr>
                <w:rFonts w:ascii="Times New Roman" w:eastAsia="仿宋_GB2312" w:hAnsi="Times New Roman" w:cs="Times New Roman"/>
                <w:kern w:val="0"/>
                <w:sz w:val="22"/>
              </w:rPr>
              <w:t>、单价在</w:t>
            </w:r>
            <w:r w:rsidR="00791201">
              <w:rPr>
                <w:rFonts w:ascii="Times New Roman" w:eastAsia="仿宋_GB2312" w:hAnsi="Times New Roman" w:cs="Times New Roman"/>
                <w:kern w:val="0"/>
                <w:sz w:val="22"/>
              </w:rPr>
              <w:t>20</w:t>
            </w:r>
            <w:r w:rsidR="00791201">
              <w:rPr>
                <w:rFonts w:ascii="Times New Roman" w:eastAsia="仿宋_GB2312" w:hAnsi="Times New Roman" w:cs="Times New Roman"/>
                <w:kern w:val="0"/>
                <w:sz w:val="22"/>
              </w:rPr>
              <w:t>万元以上的设备</w:t>
            </w:r>
          </w:p>
        </w:tc>
        <w:tc>
          <w:tcPr>
            <w:tcW w:w="1874" w:type="dxa"/>
            <w:tcBorders>
              <w:top w:val="single" w:sz="4" w:space="0" w:color="auto"/>
              <w:left w:val="nil"/>
              <w:bottom w:val="single" w:sz="4" w:space="0" w:color="auto"/>
              <w:right w:val="single" w:sz="4" w:space="0" w:color="auto"/>
            </w:tcBorders>
            <w:shd w:val="clear" w:color="auto" w:fill="auto"/>
            <w:noWrap/>
            <w:vAlign w:val="center"/>
          </w:tcPr>
          <w:p w:rsidR="00F33E30" w:rsidRDefault="00F33E30">
            <w:pPr>
              <w:spacing w:line="584" w:lineRule="exact"/>
              <w:jc w:val="center"/>
              <w:rPr>
                <w:rFonts w:ascii="Times New Roman" w:eastAsia="仿宋_GB2312" w:hAnsi="Times New Roman" w:cs="Times New Roman"/>
                <w:sz w:val="22"/>
              </w:rPr>
            </w:pPr>
          </w:p>
        </w:tc>
        <w:tc>
          <w:tcPr>
            <w:tcW w:w="3210" w:type="dxa"/>
            <w:tcBorders>
              <w:top w:val="single" w:sz="4" w:space="0" w:color="auto"/>
              <w:left w:val="nil"/>
              <w:bottom w:val="single" w:sz="4" w:space="0" w:color="auto"/>
              <w:right w:val="single" w:sz="4" w:space="0" w:color="auto"/>
            </w:tcBorders>
            <w:shd w:val="clear" w:color="auto" w:fill="auto"/>
            <w:noWrap/>
            <w:vAlign w:val="center"/>
          </w:tcPr>
          <w:p w:rsidR="00F33E30" w:rsidRDefault="00F33E30">
            <w:pPr>
              <w:spacing w:line="584" w:lineRule="exact"/>
              <w:jc w:val="center"/>
              <w:rPr>
                <w:rFonts w:ascii="Times New Roman" w:eastAsia="仿宋_GB2312" w:hAnsi="Times New Roman" w:cs="Times New Roman"/>
                <w:sz w:val="22"/>
              </w:rPr>
            </w:pPr>
          </w:p>
        </w:tc>
      </w:tr>
      <w:tr w:rsidR="00E84E97" w:rsidTr="00633FBD">
        <w:trPr>
          <w:trHeight w:hRule="exact" w:val="579"/>
        </w:trPr>
        <w:tc>
          <w:tcPr>
            <w:tcW w:w="4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E97" w:rsidRDefault="00E84E97" w:rsidP="00E84E97">
            <w:pPr>
              <w:widowControl/>
              <w:spacing w:line="584" w:lineRule="exact"/>
              <w:ind w:firstLineChars="500" w:firstLine="1100"/>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1874" w:type="dxa"/>
            <w:tcBorders>
              <w:top w:val="single" w:sz="4" w:space="0" w:color="auto"/>
              <w:left w:val="nil"/>
              <w:bottom w:val="single" w:sz="4" w:space="0" w:color="auto"/>
              <w:right w:val="single" w:sz="4" w:space="0" w:color="auto"/>
            </w:tcBorders>
            <w:shd w:val="clear" w:color="auto" w:fill="auto"/>
            <w:noWrap/>
            <w:vAlign w:val="center"/>
          </w:tcPr>
          <w:p w:rsidR="00E84E97" w:rsidRPr="00E845BA" w:rsidRDefault="00E84E97" w:rsidP="00E84E97">
            <w:pPr>
              <w:spacing w:line="584" w:lineRule="exact"/>
              <w:jc w:val="center"/>
              <w:rPr>
                <w:rFonts w:ascii="Times New Roman" w:eastAsia="仿宋_GB2312" w:hAnsi="Times New Roman" w:cs="Times New Roman"/>
                <w:kern w:val="0"/>
                <w:sz w:val="22"/>
              </w:rPr>
            </w:pPr>
            <w:r w:rsidRPr="00E845BA">
              <w:rPr>
                <w:rFonts w:ascii="Times New Roman" w:eastAsia="仿宋_GB2312" w:hAnsi="Times New Roman" w:cs="Times New Roman"/>
                <w:kern w:val="0"/>
                <w:sz w:val="22"/>
              </w:rPr>
              <w:t>——</w:t>
            </w:r>
          </w:p>
        </w:tc>
        <w:tc>
          <w:tcPr>
            <w:tcW w:w="3210" w:type="dxa"/>
            <w:tcBorders>
              <w:top w:val="single" w:sz="4" w:space="0" w:color="auto"/>
              <w:left w:val="nil"/>
              <w:bottom w:val="single" w:sz="4" w:space="0" w:color="auto"/>
              <w:right w:val="single" w:sz="4" w:space="0" w:color="auto"/>
            </w:tcBorders>
            <w:shd w:val="clear" w:color="auto" w:fill="auto"/>
            <w:noWrap/>
            <w:vAlign w:val="center"/>
          </w:tcPr>
          <w:p w:rsidR="00E84E97" w:rsidRPr="00E845BA" w:rsidRDefault="00E84E97" w:rsidP="00E84E97">
            <w:pPr>
              <w:spacing w:line="584" w:lineRule="exact"/>
              <w:jc w:val="center"/>
              <w:rPr>
                <w:rFonts w:ascii="Times New Roman" w:eastAsia="仿宋_GB2312" w:hAnsi="Times New Roman" w:cs="Times New Roman"/>
                <w:kern w:val="0"/>
                <w:sz w:val="22"/>
              </w:rPr>
            </w:pPr>
            <w:r w:rsidRPr="00E845BA">
              <w:rPr>
                <w:rFonts w:ascii="Times New Roman" w:eastAsia="仿宋_GB2312" w:hAnsi="Times New Roman" w:cs="Times New Roman" w:hint="eastAsia"/>
                <w:kern w:val="0"/>
                <w:sz w:val="22"/>
              </w:rPr>
              <w:t>33.12</w:t>
            </w:r>
          </w:p>
        </w:tc>
      </w:tr>
    </w:tbl>
    <w:p w:rsidR="00F33E30" w:rsidRDefault="0079120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财政当年拨付的资金。</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F33E30" w:rsidRDefault="00791201">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w:t>
      </w:r>
      <w:r>
        <w:rPr>
          <w:rFonts w:ascii="Times New Roman" w:eastAsia="仿宋_GB2312" w:hAnsi="Times New Roman" w:cs="Times New Roman"/>
          <w:sz w:val="32"/>
          <w:szCs w:val="32"/>
        </w:rPr>
        <w:lastRenderedPageBreak/>
        <w:t>任务而发生的人员支出和公用支出。</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F33E30" w:rsidRDefault="0079120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F33E30" w:rsidRDefault="0079120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F33E30" w:rsidRPr="000F1DD8" w:rsidRDefault="0079120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224212">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sectPr w:rsidR="00F33E30" w:rsidRPr="000F1DD8" w:rsidSect="00B50CB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C3" w:rsidRDefault="00E544C3">
      <w:r>
        <w:separator/>
      </w:r>
    </w:p>
  </w:endnote>
  <w:endnote w:type="continuationSeparator" w:id="0">
    <w:p w:rsidR="00E544C3" w:rsidRDefault="00E54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微软雅黑"/>
    <w:charset w:val="86"/>
    <w:family w:val="roman"/>
    <w:pitch w:val="default"/>
    <w:sig w:usb0="00000000" w:usb1="00000000" w:usb2="00000000" w:usb3="00000000" w:csb0="00000000" w:csb1="00000000"/>
  </w:font>
  <w:font w:name="方正仿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97"/>
    </w:sdtPr>
    <w:sdtContent>
      <w:p w:rsidR="00F33E30" w:rsidRDefault="00B50CB9">
        <w:pPr>
          <w:pStyle w:val="a4"/>
          <w:jc w:val="center"/>
        </w:pPr>
        <w:r w:rsidRPr="00B50CB9">
          <w:fldChar w:fldCharType="begin"/>
        </w:r>
        <w:r w:rsidR="00791201">
          <w:instrText xml:space="preserve"> PAGE   \* MERGEFORMAT </w:instrText>
        </w:r>
        <w:r w:rsidRPr="00B50CB9">
          <w:fldChar w:fldCharType="separate"/>
        </w:r>
        <w:r w:rsidR="00A137B0" w:rsidRPr="00A137B0">
          <w:rPr>
            <w:noProof/>
            <w:lang w:val="zh-CN"/>
          </w:rPr>
          <w:t>2</w:t>
        </w:r>
        <w:r>
          <w:rPr>
            <w:lang w:val="zh-CN"/>
          </w:rPr>
          <w:fldChar w:fldCharType="end"/>
        </w:r>
      </w:p>
    </w:sdtContent>
  </w:sdt>
  <w:p w:rsidR="00F33E30" w:rsidRDefault="00F33E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C3" w:rsidRDefault="00E544C3">
      <w:r>
        <w:separator/>
      </w:r>
    </w:p>
  </w:footnote>
  <w:footnote w:type="continuationSeparator" w:id="0">
    <w:p w:rsidR="00E544C3" w:rsidRDefault="00E54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39BD4A"/>
    <w:multiLevelType w:val="singleLevel"/>
    <w:tmpl w:val="B739BD4A"/>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AyMDg5OWViMDQzMjZlZDI0YTAzMzNlOWIxZWQ3MzMifQ=="/>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0F1DD8"/>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24212"/>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40059"/>
    <w:rsid w:val="00361949"/>
    <w:rsid w:val="0036386B"/>
    <w:rsid w:val="00371FDA"/>
    <w:rsid w:val="0039520A"/>
    <w:rsid w:val="003A04FB"/>
    <w:rsid w:val="003B6D37"/>
    <w:rsid w:val="003D2E03"/>
    <w:rsid w:val="003D5DCE"/>
    <w:rsid w:val="004041B3"/>
    <w:rsid w:val="00404715"/>
    <w:rsid w:val="00411F57"/>
    <w:rsid w:val="00415C0E"/>
    <w:rsid w:val="00422CF3"/>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207D"/>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027B3"/>
    <w:rsid w:val="00611D03"/>
    <w:rsid w:val="00614A29"/>
    <w:rsid w:val="00616FCE"/>
    <w:rsid w:val="00633FBD"/>
    <w:rsid w:val="006351FB"/>
    <w:rsid w:val="006465EA"/>
    <w:rsid w:val="00651BA2"/>
    <w:rsid w:val="00665136"/>
    <w:rsid w:val="00672D6C"/>
    <w:rsid w:val="00673D76"/>
    <w:rsid w:val="006750E7"/>
    <w:rsid w:val="00677AC3"/>
    <w:rsid w:val="006854F0"/>
    <w:rsid w:val="00694D30"/>
    <w:rsid w:val="006B0FAA"/>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91201"/>
    <w:rsid w:val="007B0400"/>
    <w:rsid w:val="007B49AA"/>
    <w:rsid w:val="007B5167"/>
    <w:rsid w:val="007B7F6B"/>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4A7"/>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37B0"/>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0CB9"/>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E743D"/>
    <w:rsid w:val="00BF2D2F"/>
    <w:rsid w:val="00BF3FB4"/>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6A88"/>
    <w:rsid w:val="00D27003"/>
    <w:rsid w:val="00D270FD"/>
    <w:rsid w:val="00D27903"/>
    <w:rsid w:val="00D324AD"/>
    <w:rsid w:val="00D43862"/>
    <w:rsid w:val="00D56115"/>
    <w:rsid w:val="00D83596"/>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44C3"/>
    <w:rsid w:val="00E55B78"/>
    <w:rsid w:val="00E66527"/>
    <w:rsid w:val="00E74313"/>
    <w:rsid w:val="00E76361"/>
    <w:rsid w:val="00E84020"/>
    <w:rsid w:val="00E845BA"/>
    <w:rsid w:val="00E84E97"/>
    <w:rsid w:val="00EB53A2"/>
    <w:rsid w:val="00EB7A80"/>
    <w:rsid w:val="00EC47F6"/>
    <w:rsid w:val="00EC797B"/>
    <w:rsid w:val="00ED0C47"/>
    <w:rsid w:val="00EE697F"/>
    <w:rsid w:val="00EE6D6D"/>
    <w:rsid w:val="00EF08C9"/>
    <w:rsid w:val="00EF535E"/>
    <w:rsid w:val="00F10A48"/>
    <w:rsid w:val="00F15CD2"/>
    <w:rsid w:val="00F21842"/>
    <w:rsid w:val="00F22ECF"/>
    <w:rsid w:val="00F33E30"/>
    <w:rsid w:val="00F36922"/>
    <w:rsid w:val="00F41BFB"/>
    <w:rsid w:val="00F471F7"/>
    <w:rsid w:val="00F47C8F"/>
    <w:rsid w:val="00F506F5"/>
    <w:rsid w:val="00F52717"/>
    <w:rsid w:val="00F56E5A"/>
    <w:rsid w:val="00F66032"/>
    <w:rsid w:val="00F83B96"/>
    <w:rsid w:val="00F8441D"/>
    <w:rsid w:val="00F87C1E"/>
    <w:rsid w:val="00F9078A"/>
    <w:rsid w:val="00F958C2"/>
    <w:rsid w:val="00FA3319"/>
    <w:rsid w:val="00FA6FE9"/>
    <w:rsid w:val="00FA740E"/>
    <w:rsid w:val="00FC06C7"/>
    <w:rsid w:val="00FD5DB4"/>
    <w:rsid w:val="00FE1724"/>
    <w:rsid w:val="00FE375B"/>
    <w:rsid w:val="00FE753C"/>
    <w:rsid w:val="00FF2162"/>
    <w:rsid w:val="00FF2346"/>
    <w:rsid w:val="09016473"/>
    <w:rsid w:val="11D946B8"/>
    <w:rsid w:val="12332888"/>
    <w:rsid w:val="18420856"/>
    <w:rsid w:val="19250647"/>
    <w:rsid w:val="19C72DC1"/>
    <w:rsid w:val="22605873"/>
    <w:rsid w:val="24B21C45"/>
    <w:rsid w:val="280D4603"/>
    <w:rsid w:val="2EAC6A12"/>
    <w:rsid w:val="2FCD0871"/>
    <w:rsid w:val="3A851E94"/>
    <w:rsid w:val="3D9004CC"/>
    <w:rsid w:val="43355687"/>
    <w:rsid w:val="522856A0"/>
    <w:rsid w:val="567D5FDA"/>
    <w:rsid w:val="5DB1620C"/>
    <w:rsid w:val="5FA9720B"/>
    <w:rsid w:val="64F658D5"/>
    <w:rsid w:val="68925993"/>
    <w:rsid w:val="6D5E04BB"/>
    <w:rsid w:val="70735EBF"/>
    <w:rsid w:val="73025627"/>
    <w:rsid w:val="730B69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50CB9"/>
    <w:rPr>
      <w:sz w:val="18"/>
      <w:szCs w:val="18"/>
    </w:rPr>
  </w:style>
  <w:style w:type="paragraph" w:styleId="a4">
    <w:name w:val="footer"/>
    <w:basedOn w:val="a"/>
    <w:link w:val="Char0"/>
    <w:uiPriority w:val="99"/>
    <w:qFormat/>
    <w:rsid w:val="00B50CB9"/>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B50CB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B50CB9"/>
    <w:rPr>
      <w:rFonts w:ascii="Times New Roman" w:eastAsia="宋体" w:hAnsi="Times New Roman" w:cs="Times New Roman"/>
      <w:szCs w:val="24"/>
    </w:rPr>
  </w:style>
  <w:style w:type="paragraph" w:styleId="a6">
    <w:name w:val="footnote text"/>
    <w:basedOn w:val="a"/>
    <w:link w:val="Char2"/>
    <w:uiPriority w:val="99"/>
    <w:semiHidden/>
    <w:unhideWhenUsed/>
    <w:qFormat/>
    <w:rsid w:val="00B50CB9"/>
    <w:pPr>
      <w:snapToGrid w:val="0"/>
      <w:jc w:val="left"/>
    </w:pPr>
    <w:rPr>
      <w:rFonts w:ascii="Calibri" w:eastAsia="宋体" w:hAnsi="Calibri" w:cs="Times New Roman"/>
      <w:sz w:val="18"/>
      <w:szCs w:val="18"/>
    </w:rPr>
  </w:style>
  <w:style w:type="paragraph" w:styleId="2">
    <w:name w:val="toc 2"/>
    <w:basedOn w:val="a"/>
    <w:next w:val="a"/>
    <w:uiPriority w:val="39"/>
    <w:qFormat/>
    <w:rsid w:val="00B50CB9"/>
    <w:pPr>
      <w:ind w:leftChars="200" w:left="420"/>
    </w:pPr>
    <w:rPr>
      <w:rFonts w:ascii="Times New Roman" w:eastAsia="宋体" w:hAnsi="Times New Roman" w:cs="Times New Roman"/>
      <w:szCs w:val="24"/>
    </w:rPr>
  </w:style>
  <w:style w:type="character" w:styleId="a7">
    <w:name w:val="footnote reference"/>
    <w:uiPriority w:val="99"/>
    <w:semiHidden/>
    <w:unhideWhenUsed/>
    <w:qFormat/>
    <w:rsid w:val="00B50CB9"/>
    <w:rPr>
      <w:vertAlign w:val="superscript"/>
    </w:rPr>
  </w:style>
  <w:style w:type="character" w:customStyle="1" w:styleId="Char1">
    <w:name w:val="页眉 Char"/>
    <w:basedOn w:val="a0"/>
    <w:link w:val="a5"/>
    <w:uiPriority w:val="99"/>
    <w:qFormat/>
    <w:rsid w:val="00B50CB9"/>
    <w:rPr>
      <w:rFonts w:ascii="Times New Roman" w:eastAsia="宋体" w:hAnsi="Times New Roman" w:cs="Times New Roman"/>
      <w:sz w:val="18"/>
      <w:szCs w:val="18"/>
    </w:rPr>
  </w:style>
  <w:style w:type="character" w:customStyle="1" w:styleId="Char0">
    <w:name w:val="页脚 Char"/>
    <w:basedOn w:val="a0"/>
    <w:link w:val="a4"/>
    <w:uiPriority w:val="99"/>
    <w:qFormat/>
    <w:rsid w:val="00B50CB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B50CB9"/>
    <w:rPr>
      <w:sz w:val="18"/>
      <w:szCs w:val="18"/>
    </w:rPr>
  </w:style>
  <w:style w:type="paragraph" w:customStyle="1" w:styleId="Default">
    <w:name w:val="Default"/>
    <w:rsid w:val="00B50CB9"/>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sid w:val="00B50CB9"/>
    <w:rPr>
      <w:rFonts w:ascii="Calibri" w:eastAsia="宋体" w:hAnsi="Calibri" w:cs="Times New Roman"/>
      <w:sz w:val="18"/>
      <w:szCs w:val="18"/>
    </w:rPr>
  </w:style>
  <w:style w:type="paragraph" w:customStyle="1" w:styleId="10">
    <w:name w:val="单元格样式1"/>
    <w:basedOn w:val="a"/>
    <w:qFormat/>
    <w:rsid w:val="00B50CB9"/>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B50CB9"/>
    <w:pPr>
      <w:widowControl/>
      <w:jc w:val="right"/>
    </w:pPr>
    <w:rPr>
      <w:rFonts w:ascii="方正书宋_GBK" w:eastAsia="方正书宋_GBK" w:hAnsi="方正书宋_GBK" w:cs="方正书宋_GBK"/>
      <w:kern w:val="0"/>
      <w:szCs w:val="24"/>
      <w:lang w:eastAsia="uk-UA"/>
    </w:rPr>
  </w:style>
  <w:style w:type="paragraph" w:customStyle="1" w:styleId="20">
    <w:name w:val="单元格样式2"/>
    <w:basedOn w:val="a"/>
    <w:qFormat/>
    <w:rsid w:val="00B50CB9"/>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B50CB9"/>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B50CB9"/>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B50CB9"/>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B50CB9"/>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总体目标文件"/>
    <w:basedOn w:val="a"/>
    <w:qFormat/>
    <w:rsid w:val="00B50CB9"/>
    <w:pPr>
      <w:spacing w:line="500" w:lineRule="exact"/>
      <w:ind w:firstLine="560"/>
    </w:pPr>
    <w:rPr>
      <w:rFonts w:eastAsia="方正仿宋_GBK"/>
      <w:sz w:val="28"/>
    </w:rPr>
  </w:style>
  <w:style w:type="paragraph" w:customStyle="1" w:styleId="-0">
    <w:name w:val="插入文本样式-插入职责分类绩效目标文件"/>
    <w:basedOn w:val="a"/>
    <w:qFormat/>
    <w:rsid w:val="00B50CB9"/>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B50CB9"/>
    <w:pPr>
      <w:spacing w:line="500" w:lineRule="exact"/>
      <w:ind w:firstLine="560"/>
    </w:pPr>
    <w:rPr>
      <w:rFonts w:eastAsia="方正仿宋_GB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0">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总体目标文件"/>
    <w:basedOn w:val="a"/>
    <w:qFormat/>
    <w:pPr>
      <w:spacing w:line="500" w:lineRule="exact"/>
      <w:ind w:firstLine="560"/>
    </w:pPr>
    <w:rPr>
      <w:rFonts w:eastAsia="方正仿宋_GBK"/>
      <w:sz w:val="28"/>
    </w:rPr>
  </w:style>
  <w:style w:type="paragraph" w:customStyle="1" w:styleId="-0">
    <w:name w:val="插入文本样式-插入职责分类绩效目标文件"/>
    <w:basedOn w:val="a"/>
    <w:qFormat/>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4A35-66A3-45FB-AF57-D60C3BB8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600</Words>
  <Characters>3424</Characters>
  <Application>Microsoft Office Word</Application>
  <DocSecurity>0</DocSecurity>
  <Lines>28</Lines>
  <Paragraphs>8</Paragraphs>
  <ScaleCrop>false</ScaleCrop>
  <Company>Microsoft</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桑三博客</cp:lastModifiedBy>
  <cp:revision>148</cp:revision>
  <cp:lastPrinted>2023-01-29T01:01:00Z</cp:lastPrinted>
  <dcterms:created xsi:type="dcterms:W3CDTF">2020-01-13T03:27:00Z</dcterms:created>
  <dcterms:modified xsi:type="dcterms:W3CDTF">2023-08-16T07:47:00Z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D14CE434580349989545A89F8860FBDF</vt:lpwstr>
  </property>
</Properties>
</file>